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wordWrap w:val="0"/>
        <w:adjustRightInd w:val="0"/>
        <w:snapToGrid w:val="0"/>
        <w:spacing w:line="360" w:lineRule="auto"/>
        <w:jc w:val="center"/>
        <w:rPr>
          <w:rFonts w:ascii="黑体" w:hAnsi="黑体" w:eastAsia="黑体" w:cs="宋体"/>
          <w:color w:val="333333"/>
          <w:kern w:val="0"/>
          <w:sz w:val="36"/>
          <w:szCs w:val="36"/>
        </w:rPr>
      </w:pPr>
      <w:bookmarkStart w:id="0" w:name="OLE_LINK3"/>
      <w:bookmarkStart w:id="1" w:name="OLE_LINK1"/>
      <w:bookmarkStart w:id="2" w:name="OLE_LINK2"/>
      <w:r>
        <w:rPr>
          <w:rFonts w:hint="eastAsia" w:ascii="黑体" w:hAnsi="黑体" w:eastAsia="黑体" w:cs="宋体"/>
          <w:color w:val="333333"/>
          <w:kern w:val="0"/>
          <w:sz w:val="36"/>
          <w:szCs w:val="36"/>
        </w:rPr>
        <w:t>医保基金智能审核监控系统改造及医保结算流程改造项目单一来源采购公示</w:t>
      </w:r>
    </w:p>
    <w:p>
      <w:pPr>
        <w:widowControl/>
        <w:adjustRightInd w:val="0"/>
        <w:snapToGrid w:val="0"/>
        <w:spacing w:line="360" w:lineRule="auto"/>
        <w:ind w:firstLine="560" w:firstLineChars="200"/>
        <w:jc w:val="left"/>
        <w:rPr>
          <w:rFonts w:cs="宋体" w:asciiTheme="minorEastAsia" w:hAnsiTheme="minorEastAsia"/>
          <w:kern w:val="0"/>
          <w:sz w:val="28"/>
          <w:szCs w:val="28"/>
        </w:rPr>
      </w:pPr>
      <w:r>
        <w:rPr>
          <w:rFonts w:hint="eastAsia" w:cs="宋体" w:asciiTheme="minorEastAsia" w:hAnsiTheme="minorEastAsia"/>
          <w:kern w:val="0"/>
          <w:sz w:val="28"/>
          <w:szCs w:val="28"/>
        </w:rPr>
        <w:t>一、项目信息</w:t>
      </w:r>
    </w:p>
    <w:p>
      <w:pPr>
        <w:widowControl/>
        <w:adjustRightInd w:val="0"/>
        <w:snapToGrid w:val="0"/>
        <w:spacing w:line="360" w:lineRule="auto"/>
        <w:ind w:firstLine="560" w:firstLineChars="200"/>
        <w:jc w:val="left"/>
        <w:rPr>
          <w:rFonts w:cs="宋体" w:asciiTheme="minorEastAsia" w:hAnsiTheme="minorEastAsia"/>
          <w:kern w:val="0"/>
          <w:sz w:val="28"/>
          <w:szCs w:val="28"/>
        </w:rPr>
      </w:pPr>
      <w:r>
        <w:rPr>
          <w:rFonts w:hint="eastAsia" w:cs="宋体" w:asciiTheme="minorEastAsia" w:hAnsiTheme="minorEastAsia"/>
          <w:kern w:val="0"/>
          <w:sz w:val="28"/>
          <w:szCs w:val="28"/>
        </w:rPr>
        <w:t>采购人：泰安市公共卫生医疗中心（泰安市职业病医院）</w:t>
      </w:r>
    </w:p>
    <w:p>
      <w:pPr>
        <w:widowControl/>
        <w:adjustRightInd w:val="0"/>
        <w:snapToGrid w:val="0"/>
        <w:spacing w:line="360" w:lineRule="auto"/>
        <w:ind w:firstLine="560" w:firstLineChars="200"/>
        <w:jc w:val="left"/>
        <w:rPr>
          <w:rFonts w:cs="宋体" w:asciiTheme="minorEastAsia" w:hAnsiTheme="minorEastAsia"/>
          <w:kern w:val="0"/>
          <w:sz w:val="28"/>
          <w:szCs w:val="28"/>
        </w:rPr>
      </w:pPr>
      <w:r>
        <w:rPr>
          <w:rFonts w:hint="eastAsia" w:cs="宋体" w:asciiTheme="minorEastAsia" w:hAnsiTheme="minorEastAsia"/>
          <w:kern w:val="0"/>
          <w:sz w:val="28"/>
          <w:szCs w:val="28"/>
        </w:rPr>
        <w:t>项目名称：医保基金智能审核监控系统改造及医保结算流程改造项目</w:t>
      </w:r>
    </w:p>
    <w:p>
      <w:pPr>
        <w:widowControl/>
        <w:adjustRightInd w:val="0"/>
        <w:snapToGrid w:val="0"/>
        <w:spacing w:line="360" w:lineRule="auto"/>
        <w:ind w:firstLine="560" w:firstLineChars="200"/>
        <w:jc w:val="left"/>
        <w:rPr>
          <w:rFonts w:cs="宋体" w:asciiTheme="minorEastAsia" w:hAnsiTheme="minorEastAsia"/>
          <w:kern w:val="0"/>
          <w:sz w:val="28"/>
          <w:szCs w:val="28"/>
        </w:rPr>
      </w:pPr>
      <w:r>
        <w:rPr>
          <w:rFonts w:hint="eastAsia" w:cs="宋体" w:asciiTheme="minorEastAsia" w:hAnsiTheme="minorEastAsia"/>
          <w:kern w:val="0"/>
          <w:sz w:val="28"/>
          <w:szCs w:val="28"/>
        </w:rPr>
        <w:t>拟采购服务的说明：医保基金智能审核监控系统改造及医保结算流程改造</w:t>
      </w:r>
    </w:p>
    <w:p>
      <w:pPr>
        <w:widowControl/>
        <w:adjustRightInd w:val="0"/>
        <w:snapToGrid w:val="0"/>
        <w:spacing w:line="360" w:lineRule="auto"/>
        <w:ind w:firstLine="560" w:firstLineChars="200"/>
        <w:jc w:val="left"/>
        <w:rPr>
          <w:rFonts w:cs="宋体" w:asciiTheme="minorEastAsia" w:hAnsiTheme="minorEastAsia"/>
          <w:kern w:val="0"/>
          <w:sz w:val="28"/>
          <w:szCs w:val="28"/>
        </w:rPr>
      </w:pPr>
      <w:r>
        <w:rPr>
          <w:rFonts w:hint="eastAsia" w:cs="宋体" w:asciiTheme="minorEastAsia" w:hAnsiTheme="minorEastAsia"/>
          <w:kern w:val="0"/>
          <w:sz w:val="28"/>
          <w:szCs w:val="28"/>
        </w:rPr>
        <w:t>拟采购服务的预算金额：</w:t>
      </w:r>
      <w:r>
        <w:rPr>
          <w:rFonts w:hint="eastAsia" w:cs="宋体" w:asciiTheme="minorEastAsia" w:hAnsiTheme="minorEastAsia"/>
          <w:kern w:val="0"/>
          <w:sz w:val="28"/>
          <w:szCs w:val="28"/>
          <w:lang w:val="en-US" w:eastAsia="zh-CN"/>
        </w:rPr>
        <w:t>17.4</w:t>
      </w:r>
      <w:r>
        <w:rPr>
          <w:rFonts w:hint="eastAsia" w:cs="宋体" w:asciiTheme="minorEastAsia" w:hAnsiTheme="minorEastAsia"/>
          <w:kern w:val="0"/>
          <w:sz w:val="28"/>
          <w:szCs w:val="28"/>
        </w:rPr>
        <w:t>万元</w:t>
      </w:r>
    </w:p>
    <w:p>
      <w:pPr>
        <w:widowControl/>
        <w:adjustRightInd w:val="0"/>
        <w:snapToGrid w:val="0"/>
        <w:spacing w:line="360" w:lineRule="auto"/>
        <w:ind w:firstLine="560" w:firstLineChars="200"/>
        <w:jc w:val="left"/>
        <w:rPr>
          <w:rFonts w:cs="宋体" w:asciiTheme="minorEastAsia" w:hAnsiTheme="minorEastAsia"/>
          <w:kern w:val="0"/>
          <w:sz w:val="28"/>
          <w:szCs w:val="28"/>
        </w:rPr>
      </w:pPr>
      <w:r>
        <w:rPr>
          <w:rFonts w:hint="eastAsia" w:cs="宋体" w:asciiTheme="minorEastAsia" w:hAnsiTheme="minorEastAsia"/>
          <w:kern w:val="0"/>
          <w:sz w:val="28"/>
          <w:szCs w:val="28"/>
        </w:rPr>
        <w:t>采用单一来源采购方式的原因及说明：</w:t>
      </w:r>
    </w:p>
    <w:p>
      <w:pPr>
        <w:widowControl/>
        <w:adjustRightInd w:val="0"/>
        <w:snapToGrid w:val="0"/>
        <w:spacing w:line="360" w:lineRule="auto"/>
        <w:ind w:firstLine="560" w:firstLineChars="200"/>
        <w:jc w:val="left"/>
        <w:rPr>
          <w:rFonts w:cs="宋体" w:asciiTheme="minorEastAsia" w:hAnsiTheme="minorEastAsia"/>
          <w:kern w:val="0"/>
          <w:sz w:val="28"/>
          <w:szCs w:val="28"/>
        </w:rPr>
      </w:pPr>
      <w:r>
        <w:rPr>
          <w:rFonts w:hint="eastAsia" w:cs="宋体" w:asciiTheme="minorEastAsia" w:hAnsiTheme="minorEastAsia"/>
          <w:kern w:val="0"/>
          <w:sz w:val="28"/>
          <w:szCs w:val="28"/>
        </w:rPr>
        <w:t>泰安市公共卫生医疗中心（泰安市职业病医院）</w:t>
      </w:r>
      <w:r>
        <w:rPr>
          <w:rFonts w:hint="eastAsia" w:ascii="宋体" w:hAnsi="宋体" w:eastAsia="宋体" w:cs="宋体"/>
          <w:sz w:val="28"/>
          <w:szCs w:val="28"/>
        </w:rPr>
        <w:t>HIS系统建设项目、二次扩建项目均由泰安市鲁科海电子信息产业有限公司承接</w:t>
      </w: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目前</w:t>
      </w:r>
      <w:r>
        <w:rPr>
          <w:rFonts w:hint="eastAsia" w:cs="宋体" w:asciiTheme="minorEastAsia" w:hAnsiTheme="minorEastAsia"/>
          <w:kern w:val="0"/>
          <w:sz w:val="28"/>
          <w:szCs w:val="28"/>
        </w:rPr>
        <w:t>泰安市鲁科海电子信息产业有限公司</w:t>
      </w:r>
      <w:r>
        <w:rPr>
          <w:rFonts w:hint="eastAsia" w:cs="宋体" w:asciiTheme="minorEastAsia" w:hAnsiTheme="minorEastAsia"/>
          <w:kern w:val="0"/>
          <w:sz w:val="28"/>
          <w:szCs w:val="28"/>
          <w:lang w:val="en-US" w:eastAsia="zh-CN"/>
        </w:rPr>
        <w:t>为HIS厂家就本项目的唯一授权供应商</w:t>
      </w:r>
      <w:r>
        <w:rPr>
          <w:rFonts w:hint="eastAsia" w:cs="宋体" w:asciiTheme="minorEastAsia" w:hAnsiTheme="minorEastAsia"/>
          <w:kern w:val="0"/>
          <w:sz w:val="28"/>
          <w:szCs w:val="28"/>
        </w:rPr>
        <w:t>，</w:t>
      </w:r>
      <w:r>
        <w:rPr>
          <w:rFonts w:hint="eastAsia" w:ascii="宋体" w:hAnsi="宋体" w:eastAsia="宋体" w:cs="宋体"/>
          <w:sz w:val="28"/>
          <w:szCs w:val="28"/>
        </w:rPr>
        <w:t>为保证系统功能的一致性、连续性及系统对接的顺利完成，根据政府采购法第三十一条第一款，建议本项目采用单一来源采购方式由泰安市鲁科海电子信息产业有限公司进行实施。</w:t>
      </w:r>
    </w:p>
    <w:p>
      <w:pPr>
        <w:widowControl/>
        <w:adjustRightInd w:val="0"/>
        <w:snapToGrid w:val="0"/>
        <w:spacing w:line="360" w:lineRule="auto"/>
        <w:ind w:firstLine="560" w:firstLineChars="200"/>
        <w:jc w:val="left"/>
        <w:rPr>
          <w:rFonts w:cs="宋体" w:asciiTheme="minorEastAsia" w:hAnsiTheme="minorEastAsia"/>
          <w:kern w:val="0"/>
          <w:sz w:val="28"/>
          <w:szCs w:val="28"/>
        </w:rPr>
      </w:pPr>
      <w:r>
        <w:rPr>
          <w:rFonts w:hint="eastAsia" w:cs="宋体" w:asciiTheme="minorEastAsia" w:hAnsiTheme="minorEastAsia"/>
          <w:kern w:val="0"/>
          <w:sz w:val="28"/>
          <w:szCs w:val="28"/>
        </w:rPr>
        <w:t>二、拟定供应商信息</w:t>
      </w:r>
    </w:p>
    <w:p>
      <w:pPr>
        <w:widowControl/>
        <w:adjustRightInd w:val="0"/>
        <w:snapToGrid w:val="0"/>
        <w:spacing w:line="360" w:lineRule="auto"/>
        <w:ind w:firstLine="560" w:firstLineChars="200"/>
        <w:jc w:val="left"/>
        <w:rPr>
          <w:rFonts w:cs="宋体" w:asciiTheme="minorEastAsia" w:hAnsiTheme="minorEastAsia"/>
          <w:kern w:val="0"/>
          <w:sz w:val="28"/>
          <w:szCs w:val="28"/>
        </w:rPr>
      </w:pPr>
      <w:r>
        <w:rPr>
          <w:rFonts w:hint="eastAsia" w:cs="宋体" w:asciiTheme="minorEastAsia" w:hAnsiTheme="minorEastAsia"/>
          <w:kern w:val="0"/>
          <w:sz w:val="28"/>
          <w:szCs w:val="28"/>
        </w:rPr>
        <w:t>名称：泰安市鲁科海电子信息产业有限公司</w:t>
      </w:r>
    </w:p>
    <w:p>
      <w:pPr>
        <w:widowControl/>
        <w:adjustRightInd w:val="0"/>
        <w:snapToGrid w:val="0"/>
        <w:spacing w:line="360" w:lineRule="auto"/>
        <w:ind w:firstLine="560" w:firstLineChars="200"/>
        <w:jc w:val="left"/>
        <w:rPr>
          <w:rFonts w:cs="宋体" w:asciiTheme="minorEastAsia" w:hAnsiTheme="minorEastAsia"/>
          <w:kern w:val="0"/>
          <w:sz w:val="28"/>
          <w:szCs w:val="28"/>
        </w:rPr>
      </w:pPr>
      <w:r>
        <w:rPr>
          <w:rFonts w:hint="eastAsia" w:cs="宋体" w:asciiTheme="minorEastAsia" w:hAnsiTheme="minorEastAsia"/>
          <w:kern w:val="0"/>
          <w:sz w:val="28"/>
          <w:szCs w:val="28"/>
        </w:rPr>
        <w:t>地址：泰安高新区北天门大街西段</w:t>
      </w:r>
    </w:p>
    <w:p>
      <w:pPr>
        <w:widowControl/>
        <w:adjustRightInd w:val="0"/>
        <w:snapToGrid w:val="0"/>
        <w:spacing w:line="360" w:lineRule="auto"/>
        <w:ind w:firstLine="560" w:firstLineChars="200"/>
        <w:jc w:val="left"/>
        <w:rPr>
          <w:rFonts w:cs="宋体" w:asciiTheme="minorEastAsia" w:hAnsiTheme="minorEastAsia"/>
          <w:kern w:val="0"/>
          <w:sz w:val="28"/>
          <w:szCs w:val="28"/>
        </w:rPr>
      </w:pPr>
      <w:r>
        <w:rPr>
          <w:rFonts w:hint="eastAsia" w:cs="宋体" w:asciiTheme="minorEastAsia" w:hAnsiTheme="minorEastAsia"/>
          <w:kern w:val="0"/>
          <w:sz w:val="28"/>
          <w:szCs w:val="28"/>
        </w:rPr>
        <w:t>三、公示期限</w:t>
      </w:r>
    </w:p>
    <w:p>
      <w:pPr>
        <w:widowControl/>
        <w:adjustRightInd w:val="0"/>
        <w:snapToGrid w:val="0"/>
        <w:spacing w:line="360" w:lineRule="auto"/>
        <w:ind w:firstLine="560" w:firstLineChars="200"/>
        <w:jc w:val="left"/>
        <w:rPr>
          <w:rFonts w:cs="宋体" w:asciiTheme="minorEastAsia" w:hAnsiTheme="minorEastAsia"/>
          <w:kern w:val="0"/>
          <w:sz w:val="28"/>
          <w:szCs w:val="28"/>
        </w:rPr>
      </w:pPr>
      <w:r>
        <w:rPr>
          <w:rFonts w:hint="eastAsia" w:cs="宋体" w:asciiTheme="minorEastAsia" w:hAnsiTheme="minorEastAsia"/>
          <w:kern w:val="0"/>
          <w:sz w:val="28"/>
          <w:szCs w:val="28"/>
        </w:rPr>
        <w:t>202</w:t>
      </w:r>
      <w:r>
        <w:rPr>
          <w:rFonts w:hint="eastAsia" w:cs="宋体" w:asciiTheme="minorEastAsia" w:hAnsiTheme="minorEastAsia"/>
          <w:kern w:val="0"/>
          <w:sz w:val="28"/>
          <w:szCs w:val="28"/>
          <w:lang w:val="en-US" w:eastAsia="zh-CN"/>
        </w:rPr>
        <w:t>4</w:t>
      </w:r>
      <w:r>
        <w:rPr>
          <w:rFonts w:hint="eastAsia" w:cs="宋体" w:asciiTheme="minorEastAsia" w:hAnsiTheme="minorEastAsia"/>
          <w:kern w:val="0"/>
          <w:sz w:val="28"/>
          <w:szCs w:val="28"/>
        </w:rPr>
        <w:t>年</w:t>
      </w:r>
      <w:r>
        <w:rPr>
          <w:rFonts w:hint="eastAsia" w:cs="宋体" w:asciiTheme="minorEastAsia" w:hAnsiTheme="minorEastAsia"/>
          <w:kern w:val="0"/>
          <w:sz w:val="28"/>
          <w:szCs w:val="28"/>
          <w:lang w:val="en-US" w:eastAsia="zh-CN"/>
        </w:rPr>
        <w:t>5</w:t>
      </w:r>
      <w:r>
        <w:rPr>
          <w:rFonts w:hint="eastAsia" w:cs="宋体" w:asciiTheme="minorEastAsia" w:hAnsiTheme="minorEastAsia"/>
          <w:kern w:val="0"/>
          <w:sz w:val="28"/>
          <w:szCs w:val="28"/>
        </w:rPr>
        <w:t>月</w:t>
      </w:r>
      <w:r>
        <w:rPr>
          <w:rFonts w:hint="eastAsia" w:cs="宋体" w:asciiTheme="minorEastAsia" w:hAnsiTheme="minorEastAsia"/>
          <w:kern w:val="0"/>
          <w:sz w:val="28"/>
          <w:szCs w:val="28"/>
          <w:lang w:val="en-US" w:eastAsia="zh-CN"/>
        </w:rPr>
        <w:t>3</w:t>
      </w:r>
      <w:r>
        <w:rPr>
          <w:rFonts w:hint="eastAsia" w:cs="宋体" w:asciiTheme="minorEastAsia" w:hAnsiTheme="minorEastAsia"/>
          <w:kern w:val="0"/>
          <w:sz w:val="28"/>
          <w:szCs w:val="28"/>
        </w:rPr>
        <w:t>日至202</w:t>
      </w:r>
      <w:r>
        <w:rPr>
          <w:rFonts w:hint="eastAsia" w:cs="宋体" w:asciiTheme="minorEastAsia" w:hAnsiTheme="minorEastAsia"/>
          <w:kern w:val="0"/>
          <w:sz w:val="28"/>
          <w:szCs w:val="28"/>
          <w:lang w:val="en-US" w:eastAsia="zh-CN"/>
        </w:rPr>
        <w:t>4</w:t>
      </w:r>
      <w:r>
        <w:rPr>
          <w:rFonts w:hint="eastAsia" w:cs="宋体" w:asciiTheme="minorEastAsia" w:hAnsiTheme="minorEastAsia"/>
          <w:kern w:val="0"/>
          <w:sz w:val="28"/>
          <w:szCs w:val="28"/>
        </w:rPr>
        <w:t>年</w:t>
      </w:r>
      <w:r>
        <w:rPr>
          <w:rFonts w:hint="eastAsia" w:cs="宋体" w:asciiTheme="minorEastAsia" w:hAnsiTheme="minorEastAsia"/>
          <w:kern w:val="0"/>
          <w:sz w:val="28"/>
          <w:szCs w:val="28"/>
          <w:lang w:val="en-US" w:eastAsia="zh-CN"/>
        </w:rPr>
        <w:t>6</w:t>
      </w:r>
      <w:r>
        <w:rPr>
          <w:rFonts w:hint="eastAsia" w:cs="宋体" w:asciiTheme="minorEastAsia" w:hAnsiTheme="minorEastAsia"/>
          <w:kern w:val="0"/>
          <w:sz w:val="28"/>
          <w:szCs w:val="28"/>
        </w:rPr>
        <w:t>月</w:t>
      </w:r>
      <w:r>
        <w:rPr>
          <w:rFonts w:hint="eastAsia" w:cs="宋体" w:asciiTheme="minorEastAsia" w:hAnsiTheme="minorEastAsia"/>
          <w:kern w:val="0"/>
          <w:sz w:val="28"/>
          <w:szCs w:val="28"/>
          <w:lang w:val="en-US" w:eastAsia="zh-CN"/>
        </w:rPr>
        <w:t>7</w:t>
      </w:r>
      <w:r>
        <w:rPr>
          <w:rFonts w:hint="eastAsia" w:cs="宋体" w:asciiTheme="minorEastAsia" w:hAnsiTheme="minorEastAsia"/>
          <w:kern w:val="0"/>
          <w:sz w:val="28"/>
          <w:szCs w:val="28"/>
        </w:rPr>
        <w:t>日</w:t>
      </w:r>
    </w:p>
    <w:p>
      <w:pPr>
        <w:widowControl/>
        <w:adjustRightInd w:val="0"/>
        <w:snapToGrid w:val="0"/>
        <w:spacing w:line="360" w:lineRule="auto"/>
        <w:ind w:firstLine="560" w:firstLineChars="200"/>
        <w:jc w:val="left"/>
        <w:rPr>
          <w:rFonts w:cs="宋体" w:asciiTheme="minorEastAsia" w:hAnsiTheme="minorEastAsia"/>
          <w:kern w:val="0"/>
          <w:sz w:val="28"/>
          <w:szCs w:val="28"/>
        </w:rPr>
      </w:pPr>
      <w:r>
        <w:rPr>
          <w:rFonts w:hint="eastAsia" w:cs="宋体" w:asciiTheme="minorEastAsia" w:hAnsiTheme="minorEastAsia"/>
          <w:kern w:val="0"/>
          <w:sz w:val="28"/>
          <w:szCs w:val="28"/>
        </w:rPr>
        <w:t>四、其他补充事宜：无</w:t>
      </w:r>
    </w:p>
    <w:p>
      <w:pPr>
        <w:widowControl/>
        <w:adjustRightInd w:val="0"/>
        <w:snapToGrid w:val="0"/>
        <w:spacing w:line="360" w:lineRule="auto"/>
        <w:ind w:firstLine="560" w:firstLineChars="200"/>
        <w:jc w:val="left"/>
        <w:rPr>
          <w:rFonts w:cs="宋体" w:asciiTheme="minorEastAsia" w:hAnsiTheme="minorEastAsia"/>
          <w:kern w:val="0"/>
          <w:sz w:val="28"/>
          <w:szCs w:val="28"/>
        </w:rPr>
      </w:pPr>
      <w:r>
        <w:rPr>
          <w:rFonts w:hint="eastAsia" w:cs="宋体" w:asciiTheme="minorEastAsia" w:hAnsiTheme="minorEastAsia"/>
          <w:kern w:val="0"/>
          <w:sz w:val="28"/>
          <w:szCs w:val="28"/>
        </w:rPr>
        <w:t>五、联系方式</w:t>
      </w:r>
    </w:p>
    <w:p>
      <w:pPr>
        <w:widowControl/>
        <w:adjustRightInd w:val="0"/>
        <w:snapToGrid w:val="0"/>
        <w:spacing w:line="360" w:lineRule="auto"/>
        <w:ind w:firstLine="560" w:firstLineChars="200"/>
        <w:jc w:val="left"/>
        <w:rPr>
          <w:rFonts w:cs="宋体" w:asciiTheme="minorEastAsia" w:hAnsiTheme="minorEastAsia"/>
          <w:kern w:val="0"/>
          <w:sz w:val="28"/>
          <w:szCs w:val="28"/>
        </w:rPr>
      </w:pPr>
      <w:r>
        <w:rPr>
          <w:rFonts w:hint="eastAsia" w:cs="宋体" w:asciiTheme="minorEastAsia" w:hAnsiTheme="minorEastAsia"/>
          <w:kern w:val="0"/>
          <w:sz w:val="28"/>
          <w:szCs w:val="28"/>
        </w:rPr>
        <w:t>1.</w:t>
      </w:r>
      <w:r>
        <w:rPr>
          <w:rFonts w:cs="宋体" w:asciiTheme="minorEastAsia" w:hAnsiTheme="minorEastAsia"/>
          <w:kern w:val="0"/>
          <w:sz w:val="28"/>
          <w:szCs w:val="28"/>
        </w:rPr>
        <w:t>名    称：</w:t>
      </w:r>
      <w:r>
        <w:rPr>
          <w:rFonts w:hint="eastAsia" w:cs="宋体" w:asciiTheme="minorEastAsia" w:hAnsiTheme="minorEastAsia"/>
          <w:kern w:val="0"/>
          <w:sz w:val="28"/>
          <w:szCs w:val="28"/>
        </w:rPr>
        <w:t>泰安市公共卫生医疗中心（泰安市职业病医院）</w:t>
      </w:r>
    </w:p>
    <w:p>
      <w:pPr>
        <w:widowControl/>
        <w:adjustRightInd w:val="0"/>
        <w:snapToGrid w:val="0"/>
        <w:spacing w:line="360" w:lineRule="auto"/>
        <w:ind w:firstLine="560" w:firstLineChars="200"/>
        <w:jc w:val="left"/>
        <w:rPr>
          <w:rFonts w:cs="宋体" w:asciiTheme="minorEastAsia" w:hAnsiTheme="minorEastAsia"/>
          <w:kern w:val="0"/>
          <w:sz w:val="28"/>
          <w:szCs w:val="28"/>
        </w:rPr>
      </w:pPr>
      <w:r>
        <w:rPr>
          <w:rFonts w:cs="宋体" w:asciiTheme="minorEastAsia" w:hAnsiTheme="minorEastAsia"/>
          <w:kern w:val="0"/>
          <w:sz w:val="28"/>
          <w:szCs w:val="28"/>
        </w:rPr>
        <w:t>地    址：泰安市长城路西万官大街336号</w:t>
      </w:r>
    </w:p>
    <w:p>
      <w:pPr>
        <w:widowControl/>
        <w:adjustRightInd w:val="0"/>
        <w:snapToGrid w:val="0"/>
        <w:spacing w:line="360" w:lineRule="auto"/>
        <w:ind w:firstLine="560" w:firstLineChars="200"/>
        <w:jc w:val="left"/>
        <w:rPr>
          <w:rFonts w:cs="宋体" w:asciiTheme="minorEastAsia" w:hAnsiTheme="minorEastAsia"/>
          <w:kern w:val="0"/>
          <w:sz w:val="28"/>
          <w:szCs w:val="28"/>
        </w:rPr>
      </w:pPr>
      <w:bookmarkStart w:id="3" w:name="_GoBack"/>
      <w:bookmarkEnd w:id="3"/>
      <w:r>
        <w:rPr>
          <w:rFonts w:cs="宋体" w:asciiTheme="minorEastAsia" w:hAnsiTheme="minorEastAsia"/>
          <w:kern w:val="0"/>
          <w:sz w:val="28"/>
          <w:szCs w:val="28"/>
        </w:rPr>
        <w:t>电话：0538-8626768</w:t>
      </w:r>
    </w:p>
    <w:p>
      <w:pPr>
        <w:widowControl/>
        <w:adjustRightInd w:val="0"/>
        <w:snapToGrid w:val="0"/>
        <w:spacing w:line="360" w:lineRule="auto"/>
        <w:ind w:firstLine="560" w:firstLineChars="200"/>
        <w:jc w:val="left"/>
        <w:rPr>
          <w:rFonts w:cs="宋体" w:asciiTheme="minorEastAsia" w:hAnsiTheme="minorEastAsia"/>
          <w:kern w:val="0"/>
          <w:sz w:val="28"/>
          <w:szCs w:val="28"/>
        </w:rPr>
      </w:pPr>
      <w:r>
        <w:rPr>
          <w:rFonts w:hint="eastAsia" w:cs="宋体" w:asciiTheme="minorEastAsia" w:hAnsiTheme="minorEastAsia"/>
          <w:kern w:val="0"/>
          <w:sz w:val="28"/>
          <w:szCs w:val="28"/>
        </w:rPr>
        <w:t>2.采购代理机构：泰安市嘉恒建设工程项目管理有限公司</w:t>
      </w:r>
    </w:p>
    <w:p>
      <w:pPr>
        <w:widowControl/>
        <w:adjustRightInd w:val="0"/>
        <w:snapToGrid w:val="0"/>
        <w:spacing w:line="360" w:lineRule="auto"/>
        <w:ind w:firstLine="560" w:firstLineChars="200"/>
        <w:jc w:val="left"/>
        <w:rPr>
          <w:rFonts w:cs="宋体" w:asciiTheme="minorEastAsia" w:hAnsiTheme="minorEastAsia"/>
          <w:kern w:val="0"/>
          <w:sz w:val="28"/>
          <w:szCs w:val="28"/>
        </w:rPr>
      </w:pPr>
      <w:r>
        <w:rPr>
          <w:rFonts w:hint="eastAsia" w:cs="宋体" w:asciiTheme="minorEastAsia" w:hAnsiTheme="minorEastAsia"/>
          <w:kern w:val="0"/>
          <w:sz w:val="28"/>
          <w:szCs w:val="28"/>
        </w:rPr>
        <w:t>联系人：</w:t>
      </w:r>
      <w:r>
        <w:rPr>
          <w:rFonts w:hint="eastAsia" w:cs="宋体" w:asciiTheme="minorEastAsia" w:hAnsiTheme="minorEastAsia"/>
          <w:kern w:val="0"/>
          <w:sz w:val="28"/>
          <w:szCs w:val="28"/>
          <w:lang w:val="en-US" w:eastAsia="zh-CN"/>
        </w:rPr>
        <w:t>张</w:t>
      </w:r>
      <w:r>
        <w:rPr>
          <w:rFonts w:hint="eastAsia" w:cs="宋体" w:asciiTheme="minorEastAsia" w:hAnsiTheme="minorEastAsia"/>
          <w:kern w:val="0"/>
          <w:sz w:val="28"/>
          <w:szCs w:val="28"/>
        </w:rPr>
        <w:t>工</w:t>
      </w:r>
    </w:p>
    <w:p>
      <w:pPr>
        <w:widowControl/>
        <w:adjustRightInd w:val="0"/>
        <w:snapToGrid w:val="0"/>
        <w:spacing w:line="360" w:lineRule="auto"/>
        <w:ind w:firstLine="560" w:firstLineChars="200"/>
        <w:jc w:val="left"/>
        <w:rPr>
          <w:rFonts w:cs="宋体" w:asciiTheme="minorEastAsia" w:hAnsiTheme="minorEastAsia"/>
          <w:kern w:val="0"/>
          <w:sz w:val="28"/>
          <w:szCs w:val="28"/>
        </w:rPr>
      </w:pPr>
      <w:r>
        <w:rPr>
          <w:rFonts w:hint="eastAsia" w:cs="宋体" w:asciiTheme="minorEastAsia" w:hAnsiTheme="minorEastAsia"/>
          <w:kern w:val="0"/>
          <w:sz w:val="28"/>
          <w:szCs w:val="28"/>
        </w:rPr>
        <w:t>电话：0538-6315028</w:t>
      </w:r>
    </w:p>
    <w:p>
      <w:pPr>
        <w:widowControl/>
        <w:adjustRightInd w:val="0"/>
        <w:snapToGrid w:val="0"/>
        <w:spacing w:line="360" w:lineRule="auto"/>
        <w:ind w:firstLine="560" w:firstLineChars="200"/>
        <w:jc w:val="left"/>
        <w:rPr>
          <w:rFonts w:cs="宋体" w:asciiTheme="minorEastAsia" w:hAnsiTheme="minorEastAsia"/>
          <w:kern w:val="0"/>
          <w:sz w:val="28"/>
          <w:szCs w:val="28"/>
        </w:rPr>
      </w:pPr>
      <w:r>
        <w:rPr>
          <w:rFonts w:hint="eastAsia" w:cs="宋体" w:asciiTheme="minorEastAsia" w:hAnsiTheme="minorEastAsia"/>
          <w:kern w:val="0"/>
          <w:sz w:val="28"/>
          <w:szCs w:val="28"/>
        </w:rPr>
        <w:t>地址：泰安市迎胜东路29号，鲲鹏商务楼三楼</w:t>
      </w:r>
    </w:p>
    <w:p>
      <w:pPr>
        <w:widowControl/>
        <w:adjustRightInd w:val="0"/>
        <w:snapToGrid w:val="0"/>
        <w:spacing w:line="360" w:lineRule="auto"/>
        <w:jc w:val="left"/>
        <w:rPr>
          <w:rFonts w:cs="宋体" w:asciiTheme="minorEastAsia" w:hAnsiTheme="minorEastAsia"/>
          <w:kern w:val="0"/>
          <w:sz w:val="28"/>
          <w:szCs w:val="28"/>
        </w:rPr>
      </w:pPr>
      <w:r>
        <w:rPr>
          <w:rFonts w:hint="eastAsia" w:cs="宋体" w:asciiTheme="minorEastAsia" w:hAnsiTheme="minorEastAsia"/>
          <w:kern w:val="0"/>
          <w:sz w:val="28"/>
          <w:szCs w:val="28"/>
        </w:rPr>
        <w:t>六、附件</w:t>
      </w:r>
    </w:p>
    <w:p>
      <w:pPr>
        <w:widowControl/>
        <w:adjustRightInd w:val="0"/>
        <w:snapToGrid w:val="0"/>
        <w:spacing w:line="360" w:lineRule="auto"/>
        <w:ind w:firstLine="560" w:firstLineChars="200"/>
        <w:jc w:val="left"/>
        <w:rPr>
          <w:rFonts w:cs="宋体" w:asciiTheme="minorEastAsia" w:hAnsiTheme="minorEastAsia"/>
          <w:kern w:val="0"/>
          <w:sz w:val="28"/>
          <w:szCs w:val="28"/>
        </w:rPr>
      </w:pPr>
      <w:r>
        <w:rPr>
          <w:rFonts w:hint="eastAsia" w:cs="宋体" w:asciiTheme="minorEastAsia" w:hAnsiTheme="minorEastAsia"/>
          <w:kern w:val="0"/>
          <w:sz w:val="28"/>
          <w:szCs w:val="28"/>
        </w:rPr>
        <w:t>专业人员论证意见</w:t>
      </w:r>
      <w:bookmarkEnd w:id="0"/>
      <w:bookmarkEnd w:id="1"/>
      <w:bookmarkEnd w:id="2"/>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altName w:val="SimSun-ExtB"/>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SimSun-ExtB">
    <w:panose1 w:val="02010609060101010101"/>
    <w:charset w:val="86"/>
    <w:family w:val="auto"/>
    <w:pitch w:val="default"/>
    <w:sig w:usb0="00000001" w:usb1="02000000" w:usb2="00000000" w:usb3="00000000" w:csb0="00040001" w:csb1="00000000"/>
  </w:font>
  <w:font w:name="微软雅黑">
    <w:panose1 w:val="020B0503020204020204"/>
    <w:charset w:val="86"/>
    <w:family w:val="auto"/>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Zjc2M2NkYjY1MDdhY2YyYTg4ZTI3YjkzYmRhODA3MzAifQ=="/>
  </w:docVars>
  <w:rsids>
    <w:rsidRoot w:val="007D417E"/>
    <w:rsid w:val="00016070"/>
    <w:rsid w:val="00076E0A"/>
    <w:rsid w:val="0009084B"/>
    <w:rsid w:val="000D542C"/>
    <w:rsid w:val="00131548"/>
    <w:rsid w:val="00136E55"/>
    <w:rsid w:val="001607DE"/>
    <w:rsid w:val="00165906"/>
    <w:rsid w:val="00173E2F"/>
    <w:rsid w:val="00183A24"/>
    <w:rsid w:val="00184499"/>
    <w:rsid w:val="001A6D74"/>
    <w:rsid w:val="001F3793"/>
    <w:rsid w:val="00233526"/>
    <w:rsid w:val="002604A8"/>
    <w:rsid w:val="002B48EF"/>
    <w:rsid w:val="002B727A"/>
    <w:rsid w:val="00350861"/>
    <w:rsid w:val="0037682D"/>
    <w:rsid w:val="00385FC6"/>
    <w:rsid w:val="003C2891"/>
    <w:rsid w:val="00434443"/>
    <w:rsid w:val="00573F8C"/>
    <w:rsid w:val="00586199"/>
    <w:rsid w:val="005B4AA2"/>
    <w:rsid w:val="006309B6"/>
    <w:rsid w:val="00640194"/>
    <w:rsid w:val="00641CAB"/>
    <w:rsid w:val="0065276C"/>
    <w:rsid w:val="00661C41"/>
    <w:rsid w:val="006878F9"/>
    <w:rsid w:val="006E7C21"/>
    <w:rsid w:val="006F5C38"/>
    <w:rsid w:val="007249A9"/>
    <w:rsid w:val="00754BF7"/>
    <w:rsid w:val="00772AF5"/>
    <w:rsid w:val="00772EB3"/>
    <w:rsid w:val="00775A86"/>
    <w:rsid w:val="0079238B"/>
    <w:rsid w:val="007C408D"/>
    <w:rsid w:val="007D2D2D"/>
    <w:rsid w:val="007D417E"/>
    <w:rsid w:val="00810F81"/>
    <w:rsid w:val="008207F0"/>
    <w:rsid w:val="00877832"/>
    <w:rsid w:val="00877A4F"/>
    <w:rsid w:val="008E7E91"/>
    <w:rsid w:val="00941186"/>
    <w:rsid w:val="009679CB"/>
    <w:rsid w:val="009D30A2"/>
    <w:rsid w:val="00AB50C0"/>
    <w:rsid w:val="00AD12C7"/>
    <w:rsid w:val="00AF4974"/>
    <w:rsid w:val="00B339F3"/>
    <w:rsid w:val="00B42F7E"/>
    <w:rsid w:val="00BA2537"/>
    <w:rsid w:val="00BA3709"/>
    <w:rsid w:val="00BC6E0B"/>
    <w:rsid w:val="00CC67B9"/>
    <w:rsid w:val="00CE35E1"/>
    <w:rsid w:val="00CE6AEF"/>
    <w:rsid w:val="00D57761"/>
    <w:rsid w:val="00DA52EA"/>
    <w:rsid w:val="00DD377E"/>
    <w:rsid w:val="00E327EC"/>
    <w:rsid w:val="00EF728C"/>
    <w:rsid w:val="00F01496"/>
    <w:rsid w:val="00F226F7"/>
    <w:rsid w:val="00F2468F"/>
    <w:rsid w:val="00F35ED1"/>
    <w:rsid w:val="00F42C72"/>
    <w:rsid w:val="00F52CF6"/>
    <w:rsid w:val="00F542B8"/>
    <w:rsid w:val="00F7058E"/>
    <w:rsid w:val="00F7416A"/>
    <w:rsid w:val="00FB2B6A"/>
    <w:rsid w:val="00FF0B5E"/>
    <w:rsid w:val="04951CA3"/>
    <w:rsid w:val="10AF64A7"/>
    <w:rsid w:val="66F335C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link w:val="10"/>
    <w:qFormat/>
    <w:uiPriority w:val="9"/>
    <w:pPr>
      <w:widowControl/>
      <w:jc w:val="left"/>
      <w:outlineLvl w:val="0"/>
    </w:pPr>
    <w:rPr>
      <w:rFonts w:ascii="宋体" w:hAnsi="宋体" w:eastAsia="宋体" w:cs="宋体"/>
      <w:kern w:val="36"/>
      <w:sz w:val="18"/>
      <w:szCs w:val="18"/>
    </w:rPr>
  </w:style>
  <w:style w:type="paragraph" w:styleId="3">
    <w:name w:val="heading 2"/>
    <w:basedOn w:val="1"/>
    <w:link w:val="11"/>
    <w:qFormat/>
    <w:uiPriority w:val="9"/>
    <w:pPr>
      <w:widowControl/>
      <w:jc w:val="left"/>
      <w:outlineLvl w:val="1"/>
    </w:pPr>
    <w:rPr>
      <w:rFonts w:ascii="宋体" w:hAnsi="宋体" w:eastAsia="宋体" w:cs="宋体"/>
      <w:kern w:val="0"/>
      <w:sz w:val="18"/>
      <w:szCs w:val="18"/>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4">
    <w:name w:val="footer"/>
    <w:basedOn w:val="1"/>
    <w:link w:val="9"/>
    <w:unhideWhenUsed/>
    <w:uiPriority w:val="99"/>
    <w:pPr>
      <w:tabs>
        <w:tab w:val="center" w:pos="4153"/>
        <w:tab w:val="right" w:pos="8306"/>
      </w:tabs>
      <w:snapToGrid w:val="0"/>
      <w:jc w:val="left"/>
    </w:pPr>
    <w:rPr>
      <w:sz w:val="18"/>
      <w:szCs w:val="18"/>
    </w:rPr>
  </w:style>
  <w:style w:type="paragraph" w:styleId="5">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8">
    <w:name w:val="页眉 Char"/>
    <w:basedOn w:val="7"/>
    <w:link w:val="5"/>
    <w:uiPriority w:val="99"/>
    <w:rPr>
      <w:sz w:val="18"/>
      <w:szCs w:val="18"/>
    </w:rPr>
  </w:style>
  <w:style w:type="character" w:customStyle="1" w:styleId="9">
    <w:name w:val="页脚 Char"/>
    <w:basedOn w:val="7"/>
    <w:link w:val="4"/>
    <w:qFormat/>
    <w:uiPriority w:val="99"/>
    <w:rPr>
      <w:sz w:val="18"/>
      <w:szCs w:val="18"/>
    </w:rPr>
  </w:style>
  <w:style w:type="character" w:customStyle="1" w:styleId="10">
    <w:name w:val="标题 1 Char"/>
    <w:basedOn w:val="7"/>
    <w:link w:val="2"/>
    <w:qFormat/>
    <w:uiPriority w:val="9"/>
    <w:rPr>
      <w:rFonts w:ascii="宋体" w:hAnsi="宋体" w:eastAsia="宋体" w:cs="宋体"/>
      <w:kern w:val="36"/>
      <w:sz w:val="18"/>
      <w:szCs w:val="18"/>
    </w:rPr>
  </w:style>
  <w:style w:type="character" w:customStyle="1" w:styleId="11">
    <w:name w:val="标题 2 Char"/>
    <w:basedOn w:val="7"/>
    <w:link w:val="3"/>
    <w:qFormat/>
    <w:uiPriority w:val="9"/>
    <w:rPr>
      <w:rFonts w:ascii="宋体" w:hAnsi="宋体" w:eastAsia="宋体" w:cs="宋体"/>
      <w:kern w:val="0"/>
      <w:sz w:val="18"/>
      <w:szCs w:val="18"/>
    </w:rPr>
  </w:style>
  <w:style w:type="paragraph" w:styleId="12">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508</Words>
  <Characters>551</Characters>
  <Lines>4</Lines>
  <Paragraphs>1</Paragraphs>
  <TotalTime>1</TotalTime>
  <ScaleCrop>false</ScaleCrop>
  <LinksUpToDate>false</LinksUpToDate>
  <CharactersWithSpaces>559</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2018-07-17T05:18:00Z</dcterms:created>
  <dc:creator>NTKO</dc:creator>
  <cp:lastModifiedBy>粉嘟倩儿</cp:lastModifiedBy>
  <cp:lastPrinted>2023-08-21T08:53:00Z</cp:lastPrinted>
  <dcterms:modified xsi:type="dcterms:W3CDTF">2024-05-31T07:15:07Z</dcterms:modified>
  <cp:revision>52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796CB2D0CCFE4A718E3CA49BDAB0152F_12</vt:lpwstr>
  </property>
</Properties>
</file>