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34C32">
      <w:pPr>
        <w:pStyle w:val="2"/>
        <w:numPr>
          <w:ilvl w:val="0"/>
          <w:numId w:val="0"/>
        </w:numPr>
        <w:ind w:leftChars="0"/>
        <w:jc w:val="center"/>
        <w:outlineLvl w:val="0"/>
      </w:pPr>
      <w:bookmarkStart w:id="0" w:name="_Toc49174315"/>
      <w:bookmarkStart w:id="36" w:name="_GoBack"/>
      <w:r>
        <w:t>泰安市公共卫生医疗中心（泰安市职业病医院）计算机、打印机周边及耗材项目竞争性磋商公告</w:t>
      </w:r>
      <w:bookmarkEnd w:id="0"/>
    </w:p>
    <w:bookmarkEnd w:id="36"/>
    <w:p w14:paraId="499F58E4">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一、项目基本情况</w:t>
      </w:r>
    </w:p>
    <w:p w14:paraId="4C742AC7">
      <w:pPr>
        <w:spacing w:line="460" w:lineRule="exact"/>
        <w:ind w:firstLine="480" w:firstLineChars="200"/>
        <w:rPr>
          <w:rFonts w:hint="default" w:ascii="仿宋" w:hAnsi="仿宋" w:eastAsia="仿宋"/>
          <w:sz w:val="24"/>
          <w:szCs w:val="24"/>
        </w:rPr>
      </w:pPr>
      <w:r>
        <w:rPr>
          <w:rFonts w:ascii="仿宋" w:hAnsi="仿宋" w:eastAsia="仿宋"/>
          <w:sz w:val="24"/>
          <w:szCs w:val="24"/>
        </w:rPr>
        <w:t>项目编号：</w:t>
      </w:r>
      <w:r>
        <w:rPr>
          <w:rFonts w:ascii="仿宋" w:hAnsi="仿宋" w:eastAsia="仿宋"/>
          <w:sz w:val="24"/>
          <w:szCs w:val="24"/>
          <w:lang w:val="zh-CN"/>
        </w:rPr>
        <w:t>SDJDL-2024-029</w:t>
      </w:r>
    </w:p>
    <w:p w14:paraId="2A911DEA">
      <w:pPr>
        <w:spacing w:line="460" w:lineRule="exact"/>
        <w:ind w:firstLine="480" w:firstLineChars="200"/>
        <w:rPr>
          <w:rFonts w:hint="default" w:ascii="仿宋" w:hAnsi="仿宋" w:eastAsia="仿宋"/>
          <w:sz w:val="24"/>
          <w:szCs w:val="24"/>
        </w:rPr>
      </w:pPr>
      <w:r>
        <w:rPr>
          <w:rFonts w:ascii="仿宋" w:hAnsi="仿宋" w:eastAsia="仿宋"/>
          <w:sz w:val="24"/>
          <w:szCs w:val="24"/>
        </w:rPr>
        <w:t>项目名称：泰安市公共卫生医疗中心（泰安市职业病医院）计算机、打印机周边及耗材项目</w:t>
      </w:r>
    </w:p>
    <w:p w14:paraId="4BA6ED78">
      <w:pPr>
        <w:pStyle w:val="4"/>
        <w:rPr>
          <w:rFonts w:hint="default" w:ascii="仿宋" w:hAnsi="仿宋" w:eastAsia="仿宋"/>
          <w:b w:val="0"/>
        </w:rPr>
      </w:pPr>
      <w:r>
        <w:t xml:space="preserve">  </w:t>
      </w:r>
      <w:r>
        <w:rPr>
          <w:rFonts w:ascii="仿宋" w:hAnsi="仿宋" w:eastAsia="仿宋"/>
        </w:rPr>
        <w:t xml:space="preserve">  </w:t>
      </w:r>
      <w:r>
        <w:rPr>
          <w:rFonts w:ascii="仿宋" w:hAnsi="仿宋" w:eastAsia="仿宋"/>
          <w:b w:val="0"/>
          <w:bCs w:val="0"/>
          <w:sz w:val="24"/>
        </w:rPr>
        <w:t>采购方式：竞争性磋商</w:t>
      </w:r>
    </w:p>
    <w:p w14:paraId="1F42E4BF">
      <w:pPr>
        <w:spacing w:line="460" w:lineRule="exact"/>
        <w:ind w:firstLine="480" w:firstLineChars="200"/>
        <w:rPr>
          <w:rFonts w:hint="default" w:ascii="仿宋" w:hAnsi="仿宋" w:eastAsia="仿宋"/>
          <w:sz w:val="24"/>
          <w:szCs w:val="24"/>
        </w:rPr>
      </w:pPr>
      <w:r>
        <w:rPr>
          <w:rFonts w:ascii="仿宋" w:hAnsi="仿宋" w:eastAsia="仿宋"/>
          <w:sz w:val="24"/>
          <w:szCs w:val="24"/>
        </w:rPr>
        <w:t>预算金额（单价控制）：27675元</w:t>
      </w:r>
    </w:p>
    <w:p w14:paraId="3DA9471F">
      <w:pPr>
        <w:spacing w:line="460" w:lineRule="exact"/>
        <w:ind w:firstLine="480" w:firstLineChars="200"/>
        <w:rPr>
          <w:rFonts w:hint="default" w:ascii="仿宋" w:hAnsi="仿宋" w:eastAsia="仿宋"/>
          <w:sz w:val="24"/>
          <w:szCs w:val="24"/>
        </w:rPr>
      </w:pPr>
      <w:r>
        <w:rPr>
          <w:rFonts w:ascii="仿宋" w:hAnsi="仿宋" w:eastAsia="仿宋"/>
          <w:sz w:val="24"/>
          <w:szCs w:val="24"/>
        </w:rPr>
        <w:t>采购需求：泰安市公共卫生医疗中心（泰安市职业病医院）计算机、打印机周边及耗材的采购</w:t>
      </w:r>
      <w:bookmarkStart w:id="1" w:name="_Toc28359003"/>
      <w:bookmarkStart w:id="2" w:name="_Toc4552"/>
      <w:bookmarkStart w:id="3" w:name="_Toc35393622"/>
      <w:bookmarkStart w:id="4" w:name="_Toc8343"/>
      <w:bookmarkStart w:id="5" w:name="_Toc28359080"/>
      <w:bookmarkStart w:id="6" w:name="_Toc35393791"/>
      <w:r>
        <w:rPr>
          <w:rFonts w:ascii="仿宋" w:hAnsi="仿宋" w:eastAsia="仿宋"/>
          <w:sz w:val="24"/>
          <w:szCs w:val="24"/>
        </w:rPr>
        <w:t>。</w:t>
      </w:r>
    </w:p>
    <w:p w14:paraId="7D407610">
      <w:pPr>
        <w:spacing w:line="460" w:lineRule="exact"/>
        <w:ind w:firstLine="480" w:firstLineChars="200"/>
        <w:rPr>
          <w:rFonts w:hint="default" w:ascii="仿宋" w:hAnsi="仿宋" w:eastAsia="仿宋"/>
          <w:sz w:val="24"/>
          <w:szCs w:val="24"/>
          <w:lang w:val="zh-CN"/>
        </w:rPr>
      </w:pPr>
      <w:r>
        <w:rPr>
          <w:rFonts w:ascii="仿宋" w:hAnsi="仿宋" w:eastAsia="仿宋"/>
          <w:sz w:val="24"/>
          <w:szCs w:val="24"/>
          <w:lang w:val="zh-CN"/>
        </w:rPr>
        <w:t>供货、安装期：接甲方通知后，耗材类2-4小时内完成供货及更换，配件及维修类24小时</w:t>
      </w:r>
      <w:r>
        <w:rPr>
          <w:rFonts w:ascii="仿宋" w:hAnsi="仿宋" w:eastAsia="仿宋"/>
          <w:sz w:val="24"/>
          <w:szCs w:val="24"/>
        </w:rPr>
        <w:t>内</w:t>
      </w:r>
      <w:r>
        <w:rPr>
          <w:rFonts w:ascii="仿宋" w:hAnsi="仿宋" w:eastAsia="仿宋"/>
          <w:sz w:val="24"/>
          <w:szCs w:val="24"/>
          <w:lang w:val="zh-CN"/>
        </w:rPr>
        <w:t xml:space="preserve">安装及调试完毕。 </w:t>
      </w:r>
    </w:p>
    <w:p w14:paraId="0F6D4FB3">
      <w:pPr>
        <w:spacing w:line="460" w:lineRule="exact"/>
        <w:ind w:firstLine="480" w:firstLineChars="200"/>
        <w:rPr>
          <w:rFonts w:hint="default" w:ascii="仿宋" w:hAnsi="仿宋" w:eastAsia="仿宋"/>
          <w:sz w:val="24"/>
          <w:szCs w:val="24"/>
        </w:rPr>
      </w:pPr>
      <w:r>
        <w:rPr>
          <w:rFonts w:ascii="仿宋" w:hAnsi="仿宋" w:eastAsia="仿宋"/>
          <w:sz w:val="24"/>
          <w:szCs w:val="24"/>
          <w:lang w:val="zh-CN"/>
        </w:rPr>
        <w:t>质保期：硬件配件不低于</w:t>
      </w:r>
      <w:r>
        <w:rPr>
          <w:rFonts w:ascii="仿宋" w:hAnsi="仿宋" w:eastAsia="仿宋"/>
          <w:sz w:val="24"/>
          <w:szCs w:val="24"/>
        </w:rPr>
        <w:t>12个月</w:t>
      </w:r>
    </w:p>
    <w:p w14:paraId="559E39B6">
      <w:pPr>
        <w:spacing w:line="460" w:lineRule="exact"/>
        <w:ind w:firstLine="480" w:firstLineChars="200"/>
        <w:rPr>
          <w:rFonts w:hint="default" w:ascii="仿宋" w:hAnsi="仿宋" w:eastAsia="仿宋"/>
          <w:sz w:val="24"/>
          <w:szCs w:val="24"/>
          <w:u w:val="single"/>
        </w:rPr>
      </w:pPr>
      <w:r>
        <w:rPr>
          <w:rFonts w:ascii="黑体" w:hAnsi="黑体" w:eastAsia="黑体" w:cs="宋体"/>
          <w:bCs/>
          <w:sz w:val="24"/>
          <w:szCs w:val="24"/>
        </w:rPr>
        <w:t>二、申请人的资格要求</w:t>
      </w:r>
      <w:bookmarkEnd w:id="1"/>
      <w:bookmarkEnd w:id="2"/>
      <w:bookmarkEnd w:id="3"/>
      <w:bookmarkEnd w:id="4"/>
      <w:bookmarkEnd w:id="5"/>
      <w:bookmarkEnd w:id="6"/>
    </w:p>
    <w:p w14:paraId="17247D06">
      <w:pPr>
        <w:spacing w:line="460" w:lineRule="exact"/>
        <w:ind w:firstLine="480" w:firstLineChars="200"/>
        <w:rPr>
          <w:rFonts w:hint="default" w:ascii="仿宋" w:hAnsi="仿宋" w:eastAsia="仿宋"/>
          <w:sz w:val="24"/>
          <w:szCs w:val="24"/>
        </w:rPr>
      </w:pPr>
      <w:bookmarkStart w:id="7" w:name="_Toc28359004"/>
      <w:bookmarkStart w:id="8" w:name="_Toc35393792"/>
      <w:bookmarkStart w:id="9" w:name="_Toc35393623"/>
      <w:bookmarkStart w:id="10" w:name="_Toc6365"/>
      <w:bookmarkStart w:id="11" w:name="_Toc24991"/>
      <w:bookmarkStart w:id="12" w:name="_Toc28359081"/>
      <w:r>
        <w:rPr>
          <w:rFonts w:hint="default" w:ascii="仿宋" w:hAnsi="仿宋" w:eastAsia="仿宋"/>
          <w:sz w:val="24"/>
          <w:szCs w:val="24"/>
        </w:rPr>
        <w:t>1、符合政府采购法第二十二条规定的相关条件；</w:t>
      </w:r>
    </w:p>
    <w:p w14:paraId="63F96C14">
      <w:pPr>
        <w:spacing w:line="460" w:lineRule="exact"/>
        <w:ind w:firstLine="480" w:firstLineChars="200"/>
        <w:rPr>
          <w:rFonts w:hint="default" w:ascii="仿宋" w:hAnsi="仿宋" w:eastAsia="仿宋"/>
          <w:sz w:val="24"/>
          <w:szCs w:val="24"/>
        </w:rPr>
      </w:pPr>
      <w:r>
        <w:rPr>
          <w:rFonts w:hint="default" w:ascii="仿宋" w:hAnsi="仿宋" w:eastAsia="仿宋"/>
          <w:sz w:val="24"/>
          <w:szCs w:val="24"/>
        </w:rPr>
        <w:t>2</w:t>
      </w:r>
      <w:r>
        <w:rPr>
          <w:rFonts w:ascii="仿宋" w:hAnsi="仿宋" w:eastAsia="仿宋"/>
          <w:sz w:val="24"/>
          <w:szCs w:val="24"/>
        </w:rPr>
        <w:t>、在中华人民共和国境内注册，具备有效的营业执照，并在人员、资金、设备上具有相应的供货、安装服务能力；</w:t>
      </w:r>
    </w:p>
    <w:p w14:paraId="4B405B8E">
      <w:pPr>
        <w:spacing w:line="460" w:lineRule="exact"/>
        <w:ind w:firstLine="480" w:firstLineChars="200"/>
        <w:rPr>
          <w:rFonts w:hint="default" w:ascii="仿宋" w:hAnsi="仿宋" w:eastAsia="仿宋"/>
          <w:sz w:val="24"/>
          <w:szCs w:val="24"/>
          <w:highlight w:val="none"/>
        </w:rPr>
      </w:pPr>
      <w:r>
        <w:rPr>
          <w:rFonts w:ascii="仿宋" w:hAnsi="仿宋" w:eastAsia="仿宋"/>
          <w:sz w:val="24"/>
          <w:szCs w:val="24"/>
          <w:highlight w:val="none"/>
        </w:rPr>
        <w:t>3、</w:t>
      </w:r>
      <w:r>
        <w:rPr>
          <w:rFonts w:hint="default" w:ascii="仿宋" w:hAnsi="仿宋" w:eastAsia="仿宋"/>
          <w:sz w:val="24"/>
          <w:szCs w:val="24"/>
          <w:highlight w:val="none"/>
        </w:rPr>
        <w:t>落实政府采购政策需满足的资格要求：本项目专门面向中小企业采购（与大企业的负责人为同一人，或者与大企业存在直接控股、管理关系的除外）；</w:t>
      </w:r>
    </w:p>
    <w:p w14:paraId="1F4BD6BD">
      <w:pPr>
        <w:spacing w:line="460" w:lineRule="exact"/>
        <w:ind w:firstLine="480" w:firstLineChars="200"/>
        <w:rPr>
          <w:rFonts w:hint="default" w:ascii="仿宋" w:hAnsi="仿宋" w:eastAsia="仿宋"/>
          <w:sz w:val="24"/>
          <w:szCs w:val="24"/>
        </w:rPr>
      </w:pPr>
      <w:r>
        <w:rPr>
          <w:rFonts w:ascii="仿宋" w:hAnsi="仿宋" w:eastAsia="仿宋"/>
          <w:sz w:val="24"/>
          <w:szCs w:val="24"/>
        </w:rPr>
        <w:t>4</w:t>
      </w:r>
      <w:r>
        <w:rPr>
          <w:rFonts w:hint="default" w:ascii="仿宋" w:hAnsi="仿宋" w:eastAsia="仿宋"/>
          <w:sz w:val="24"/>
          <w:szCs w:val="24"/>
        </w:rPr>
        <w:t>、本项目不接受联合体报价</w:t>
      </w:r>
      <w:r>
        <w:rPr>
          <w:rFonts w:ascii="仿宋" w:hAnsi="仿宋" w:eastAsia="仿宋"/>
          <w:sz w:val="24"/>
          <w:szCs w:val="24"/>
        </w:rPr>
        <w:t>。</w:t>
      </w:r>
      <w:r>
        <w:rPr>
          <w:rFonts w:hint="default" w:ascii="仿宋" w:hAnsi="仿宋" w:eastAsia="仿宋"/>
          <w:sz w:val="24"/>
          <w:szCs w:val="24"/>
        </w:rPr>
        <w:t xml:space="preserve"> </w:t>
      </w:r>
    </w:p>
    <w:p w14:paraId="53814DD4">
      <w:pPr>
        <w:spacing w:line="460" w:lineRule="exact"/>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7"/>
      <w:bookmarkEnd w:id="8"/>
      <w:bookmarkEnd w:id="9"/>
      <w:bookmarkEnd w:id="10"/>
      <w:bookmarkEnd w:id="11"/>
      <w:bookmarkEnd w:id="12"/>
    </w:p>
    <w:p w14:paraId="2DA4F0A3">
      <w:pPr>
        <w:adjustRightInd w:val="0"/>
        <w:spacing w:line="480" w:lineRule="exact"/>
        <w:ind w:firstLine="480" w:firstLineChars="200"/>
        <w:rPr>
          <w:rFonts w:hint="default" w:ascii="仿宋_GB2312" w:hAnsi="仿宋" w:eastAsia="仿宋_GB2312"/>
          <w:bCs/>
          <w:color w:val="000000"/>
          <w:sz w:val="24"/>
          <w:szCs w:val="24"/>
        </w:rPr>
      </w:pPr>
      <w:bookmarkStart w:id="13" w:name="_Toc28359082"/>
      <w:bookmarkStart w:id="14" w:name="_Toc28359005"/>
      <w:bookmarkStart w:id="15" w:name="_Toc1976"/>
      <w:bookmarkStart w:id="16" w:name="_Toc2282"/>
      <w:bookmarkStart w:id="17" w:name="_Toc35393624"/>
      <w:bookmarkStart w:id="18" w:name="_Toc35393793"/>
      <w:r>
        <w:rPr>
          <w:rFonts w:ascii="仿宋_GB2312" w:hAnsi="宋体" w:eastAsia="仿宋_GB2312" w:cs="宋体"/>
          <w:sz w:val="24"/>
          <w:szCs w:val="24"/>
        </w:rPr>
        <w:t>方式：现场报名，</w:t>
      </w:r>
      <w:r>
        <w:rPr>
          <w:rFonts w:ascii="仿宋_GB2312" w:hAnsi="仿宋" w:eastAsia="仿宋_GB2312"/>
          <w:bCs/>
          <w:color w:val="000000"/>
          <w:sz w:val="24"/>
          <w:szCs w:val="24"/>
        </w:rPr>
        <w:t>凡有意参加本项目的供应商请于</w:t>
      </w:r>
      <w:bookmarkStart w:id="19" w:name="_Hlk78986941"/>
      <w:r>
        <w:rPr>
          <w:rFonts w:ascii="仿宋_GB2312" w:hAnsi="仿宋" w:eastAsia="仿宋_GB2312"/>
          <w:bCs/>
          <w:color w:val="000000"/>
          <w:sz w:val="24"/>
          <w:szCs w:val="24"/>
          <w:highlight w:val="none"/>
        </w:rPr>
        <w:t>2024年11月04日起至2024年11月08日</w:t>
      </w:r>
      <w:bookmarkEnd w:id="19"/>
      <w:r>
        <w:rPr>
          <w:rFonts w:ascii="仿宋_GB2312" w:hAnsi="仿宋" w:eastAsia="仿宋_GB2312"/>
          <w:bCs/>
          <w:color w:val="000000"/>
          <w:sz w:val="24"/>
          <w:szCs w:val="24"/>
          <w:highlight w:val="none"/>
        </w:rPr>
        <w:t>，每天上午8时30分至11时30分，下午13时</w:t>
      </w:r>
      <w:r>
        <w:rPr>
          <w:rFonts w:ascii="仿宋_GB2312" w:hAnsi="仿宋" w:eastAsia="仿宋_GB2312"/>
          <w:bCs/>
          <w:color w:val="000000"/>
          <w:sz w:val="24"/>
          <w:szCs w:val="24"/>
        </w:rPr>
        <w:t>30分至16时30分（北京时间，节假日除外，下同）持</w:t>
      </w:r>
      <w:r>
        <w:rPr>
          <w:rFonts w:ascii="仿宋_GB2312" w:hAnsi="宋体" w:eastAsia="仿宋_GB2312" w:cs="宋体"/>
          <w:sz w:val="24"/>
          <w:szCs w:val="24"/>
        </w:rPr>
        <w:t>营业执照、法定代表人身份证明或法定代表人授权委托书及被授权人身份证等证件原件及加盖公章复印件一套</w:t>
      </w:r>
      <w:r>
        <w:rPr>
          <w:rFonts w:ascii="仿宋_GB2312" w:hAnsi="仿宋" w:eastAsia="仿宋_GB2312"/>
          <w:bCs/>
          <w:color w:val="000000"/>
          <w:sz w:val="24"/>
          <w:szCs w:val="24"/>
        </w:rPr>
        <w:t>到</w:t>
      </w:r>
      <w:r>
        <w:rPr>
          <w:rFonts w:ascii="仿宋_GB2312" w:hAnsi="仿宋" w:eastAsia="仿宋_GB2312"/>
          <w:bCs/>
          <w:color w:val="000000"/>
          <w:sz w:val="24"/>
          <w:szCs w:val="24"/>
          <w:lang w:val="zh-CN"/>
        </w:rPr>
        <w:t>山东金德莱项目管理有限公司</w:t>
      </w:r>
      <w:r>
        <w:rPr>
          <w:rFonts w:ascii="仿宋_GB2312" w:hAnsi="仿宋" w:eastAsia="仿宋_GB2312"/>
          <w:bCs/>
          <w:color w:val="000000"/>
          <w:sz w:val="24"/>
          <w:szCs w:val="24"/>
        </w:rPr>
        <w:t>（</w:t>
      </w:r>
      <w:r>
        <w:rPr>
          <w:rFonts w:ascii="仿宋_GB2312" w:hAnsi="仿宋" w:eastAsia="仿宋_GB2312"/>
          <w:bCs/>
          <w:color w:val="000000"/>
          <w:sz w:val="24"/>
          <w:szCs w:val="24"/>
          <w:lang w:val="zh-CN"/>
        </w:rPr>
        <w:t>泰安市泰山区三里商业广场2号楼1-2层113室</w:t>
      </w:r>
      <w:r>
        <w:rPr>
          <w:rFonts w:ascii="仿宋_GB2312" w:hAnsi="仿宋" w:eastAsia="仿宋_GB2312"/>
          <w:bCs/>
          <w:color w:val="000000"/>
          <w:sz w:val="24"/>
          <w:szCs w:val="24"/>
        </w:rPr>
        <w:t>）报名并领取磋商文件。</w:t>
      </w:r>
    </w:p>
    <w:p w14:paraId="047BF99B">
      <w:pPr>
        <w:adjustRightInd w:val="0"/>
        <w:spacing w:line="480" w:lineRule="exact"/>
        <w:ind w:firstLine="480" w:firstLineChars="200"/>
        <w:rPr>
          <w:rFonts w:hint="default" w:ascii="仿宋_GB2312" w:hAnsi="仿宋" w:eastAsia="仿宋_GB2312"/>
          <w:bCs/>
          <w:color w:val="000000"/>
          <w:sz w:val="24"/>
          <w:szCs w:val="24"/>
        </w:rPr>
      </w:pPr>
      <w:r>
        <w:rPr>
          <w:rFonts w:ascii="仿宋_GB2312" w:hAnsi="仿宋" w:eastAsia="仿宋_GB2312"/>
          <w:bCs/>
          <w:color w:val="000000"/>
          <w:sz w:val="24"/>
          <w:szCs w:val="24"/>
        </w:rPr>
        <w:t>注：资料查验成功后方视为报名有效，报名时的资料查验不代表资格审查的最终通过或合格。</w:t>
      </w:r>
    </w:p>
    <w:p w14:paraId="5B9C5A5A">
      <w:pPr>
        <w:adjustRightInd w:val="0"/>
        <w:spacing w:line="480" w:lineRule="exact"/>
        <w:ind w:firstLine="480" w:firstLineChars="200"/>
        <w:rPr>
          <w:rFonts w:hint="default" w:ascii="仿宋_GB2312" w:hAnsi="仿宋" w:eastAsia="仿宋_GB2312"/>
          <w:bCs/>
          <w:sz w:val="24"/>
          <w:szCs w:val="24"/>
          <w:lang w:val="zh-CN"/>
        </w:rPr>
      </w:pPr>
      <w:r>
        <w:rPr>
          <w:rFonts w:ascii="仿宋_GB2312" w:hAnsi="仿宋" w:eastAsia="仿宋_GB2312"/>
          <w:bCs/>
          <w:color w:val="000000"/>
          <w:sz w:val="24"/>
          <w:szCs w:val="24"/>
        </w:rPr>
        <w:t>磋商文件售价：每套人民币3</w:t>
      </w:r>
      <w:r>
        <w:rPr>
          <w:rFonts w:hint="default" w:ascii="仿宋_GB2312" w:hAnsi="仿宋" w:eastAsia="仿宋_GB2312"/>
          <w:bCs/>
          <w:color w:val="000000"/>
          <w:sz w:val="24"/>
          <w:szCs w:val="24"/>
        </w:rPr>
        <w:t>00</w:t>
      </w:r>
      <w:r>
        <w:rPr>
          <w:rFonts w:ascii="仿宋_GB2312" w:hAnsi="仿宋" w:eastAsia="仿宋_GB2312"/>
          <w:bCs/>
          <w:color w:val="000000"/>
          <w:sz w:val="24"/>
          <w:szCs w:val="24"/>
        </w:rPr>
        <w:t>元整，售后不退。</w:t>
      </w:r>
    </w:p>
    <w:p w14:paraId="12AF4811">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四、提交</w:t>
      </w:r>
      <w:bookmarkEnd w:id="13"/>
      <w:bookmarkEnd w:id="14"/>
      <w:r>
        <w:rPr>
          <w:rFonts w:ascii="黑体" w:hAnsi="黑体" w:eastAsia="黑体" w:cs="宋体"/>
          <w:bCs/>
          <w:sz w:val="24"/>
          <w:szCs w:val="24"/>
        </w:rPr>
        <w:t>响应文件截止时间、开标时间和地点</w:t>
      </w:r>
      <w:bookmarkEnd w:id="15"/>
      <w:bookmarkEnd w:id="16"/>
      <w:bookmarkEnd w:id="17"/>
      <w:bookmarkEnd w:id="18"/>
    </w:p>
    <w:p w14:paraId="3346411E">
      <w:pPr>
        <w:spacing w:line="460" w:lineRule="exact"/>
        <w:ind w:firstLine="480" w:firstLineChars="200"/>
        <w:rPr>
          <w:rFonts w:hint="default" w:ascii="仿宋" w:hAnsi="仿宋" w:eastAsia="仿宋"/>
          <w:sz w:val="24"/>
          <w:szCs w:val="24"/>
        </w:rPr>
      </w:pPr>
      <w:bookmarkStart w:id="20" w:name="_Toc1752"/>
      <w:bookmarkStart w:id="21" w:name="_Toc28359084"/>
      <w:bookmarkStart w:id="22" w:name="_Toc13572"/>
      <w:bookmarkStart w:id="23" w:name="_Toc35393625"/>
      <w:bookmarkStart w:id="24" w:name="_Toc28359007"/>
      <w:bookmarkStart w:id="25" w:name="_Toc35393794"/>
      <w:r>
        <w:rPr>
          <w:rFonts w:ascii="仿宋" w:hAnsi="仿宋" w:eastAsia="仿宋"/>
          <w:sz w:val="24"/>
          <w:szCs w:val="24"/>
        </w:rPr>
        <w:t>1.时间</w:t>
      </w:r>
      <w:r>
        <w:rPr>
          <w:rFonts w:ascii="仿宋" w:hAnsi="仿宋" w:eastAsia="仿宋"/>
          <w:sz w:val="24"/>
          <w:szCs w:val="24"/>
          <w:highlight w:val="none"/>
        </w:rPr>
        <w:t>：2024年11月15日09时00分（北京时间）</w:t>
      </w:r>
    </w:p>
    <w:p w14:paraId="3EFA4279">
      <w:pPr>
        <w:spacing w:line="460" w:lineRule="exact"/>
        <w:ind w:firstLine="480" w:firstLineChars="200"/>
        <w:rPr>
          <w:rFonts w:hint="default" w:ascii="仿宋" w:hAnsi="仿宋" w:eastAsia="仿宋"/>
          <w:sz w:val="24"/>
          <w:szCs w:val="24"/>
        </w:rPr>
      </w:pPr>
      <w:r>
        <w:rPr>
          <w:rFonts w:ascii="仿宋" w:hAnsi="仿宋" w:eastAsia="仿宋"/>
          <w:sz w:val="24"/>
          <w:szCs w:val="24"/>
        </w:rPr>
        <w:t>2.地点：</w:t>
      </w:r>
      <w:r>
        <w:rPr>
          <w:rFonts w:ascii="仿宋" w:hAnsi="仿宋" w:eastAsia="仿宋"/>
          <w:sz w:val="24"/>
          <w:szCs w:val="24"/>
          <w:lang w:val="zh-CN"/>
        </w:rPr>
        <w:t>泰安市泰山区三里商业广场2号楼1-2层113室</w:t>
      </w:r>
    </w:p>
    <w:p w14:paraId="08E2EE62">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0"/>
      <w:bookmarkEnd w:id="21"/>
      <w:bookmarkEnd w:id="22"/>
      <w:bookmarkEnd w:id="23"/>
      <w:bookmarkEnd w:id="24"/>
      <w:bookmarkEnd w:id="25"/>
    </w:p>
    <w:p w14:paraId="10D5629B">
      <w:pPr>
        <w:spacing w:line="460" w:lineRule="exact"/>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自本公告发布之日起5个工作日。</w:t>
      </w:r>
      <w:bookmarkStart w:id="26" w:name="_Toc27912"/>
      <w:bookmarkStart w:id="27" w:name="_Toc22718"/>
      <w:bookmarkStart w:id="28" w:name="_Toc35393795"/>
      <w:bookmarkStart w:id="29" w:name="_Toc35393626"/>
    </w:p>
    <w:p w14:paraId="073EC3C7">
      <w:pPr>
        <w:spacing w:line="460" w:lineRule="exact"/>
        <w:ind w:firstLine="480" w:firstLineChars="200"/>
        <w:rPr>
          <w:rFonts w:hint="default" w:ascii="仿宋" w:hAnsi="仿宋" w:eastAsia="仿宋" w:cs="宋体"/>
          <w:kern w:val="0"/>
          <w:sz w:val="24"/>
          <w:szCs w:val="24"/>
        </w:rPr>
      </w:pPr>
      <w:r>
        <w:rPr>
          <w:rFonts w:ascii="黑体" w:hAnsi="黑体" w:eastAsia="黑体" w:cs="宋体"/>
          <w:bCs/>
          <w:sz w:val="24"/>
          <w:szCs w:val="24"/>
        </w:rPr>
        <w:t>六、</w:t>
      </w:r>
      <w:bookmarkEnd w:id="26"/>
      <w:bookmarkEnd w:id="27"/>
      <w:bookmarkEnd w:id="28"/>
      <w:bookmarkEnd w:id="29"/>
      <w:r>
        <w:rPr>
          <w:rFonts w:ascii="黑体" w:hAnsi="黑体" w:eastAsia="黑体" w:cs="宋体"/>
          <w:bCs/>
          <w:sz w:val="24"/>
          <w:szCs w:val="24"/>
        </w:rPr>
        <w:t>公告媒体</w:t>
      </w:r>
    </w:p>
    <w:p w14:paraId="4B95D670">
      <w:pPr>
        <w:spacing w:line="460" w:lineRule="exact"/>
        <w:ind w:firstLine="960" w:firstLineChars="400"/>
        <w:rPr>
          <w:rFonts w:hint="default" w:ascii="仿宋_GB2312" w:hAnsi="仿宋_GB2312" w:eastAsia="仿宋_GB2312" w:cs="仿宋_GB2312"/>
          <w:sz w:val="24"/>
          <w:szCs w:val="24"/>
          <w:lang w:val="zh-CN"/>
        </w:rPr>
      </w:pPr>
      <w:bookmarkStart w:id="30" w:name="_Toc28359008"/>
      <w:bookmarkStart w:id="31" w:name="_Toc7720"/>
      <w:bookmarkStart w:id="32" w:name="_Toc26931"/>
      <w:bookmarkStart w:id="33" w:name="_Toc35393796"/>
      <w:bookmarkStart w:id="34" w:name="_Toc28359085"/>
      <w:bookmarkStart w:id="35" w:name="_Toc35393627"/>
      <w:r>
        <w:rPr>
          <w:rFonts w:ascii="仿宋_GB2312" w:hAnsi="仿宋_GB2312" w:eastAsia="仿宋_GB2312" w:cs="仿宋_GB2312"/>
          <w:sz w:val="24"/>
          <w:szCs w:val="24"/>
          <w:lang w:val="zh-CN"/>
        </w:rPr>
        <w:t>泰安市公共卫生医疗中心（泰安市职业病医院）官网</w:t>
      </w:r>
    </w:p>
    <w:p w14:paraId="0769581D">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0"/>
      <w:bookmarkEnd w:id="31"/>
      <w:bookmarkEnd w:id="32"/>
      <w:bookmarkEnd w:id="33"/>
      <w:bookmarkEnd w:id="34"/>
      <w:bookmarkEnd w:id="35"/>
    </w:p>
    <w:p w14:paraId="4FEFAC1E">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 xml:space="preserve">7.1招标人：泰安市公共卫生医疗中心（泰安市职业病医院） </w:t>
      </w:r>
    </w:p>
    <w:p w14:paraId="1FA1096B">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地址：泰安市长城路西万官大街336号</w:t>
      </w:r>
    </w:p>
    <w:p w14:paraId="76008AF4">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联系人：</w:t>
      </w:r>
      <w:r>
        <w:rPr>
          <w:rFonts w:ascii="仿宋" w:hAnsi="仿宋" w:eastAsia="仿宋" w:cs="宋体"/>
          <w:sz w:val="24"/>
          <w:szCs w:val="24"/>
        </w:rPr>
        <w:t>王主任</w:t>
      </w:r>
    </w:p>
    <w:p w14:paraId="19A8BB3A">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电话：0538-8626768</w:t>
      </w:r>
    </w:p>
    <w:p w14:paraId="4EF0AF4A">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7.2 招标代理机构：山东金德莱项目管理有限公司</w:t>
      </w:r>
    </w:p>
    <w:p w14:paraId="240CD4C4">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联系人：卢经理</w:t>
      </w:r>
    </w:p>
    <w:p w14:paraId="04854D18">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地址：泰安市泰山区三里商业广场2号楼1-2层113室</w:t>
      </w:r>
    </w:p>
    <w:p w14:paraId="126B31CD">
      <w:pPr>
        <w:widowControl/>
        <w:spacing w:line="460" w:lineRule="exact"/>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电话：0538-8663567</w:t>
      </w:r>
    </w:p>
    <w:p w14:paraId="6E0C8CF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mZDA0MGRhY2Q1YmJjZDQ0MTlmZTk2ZmNlOWMzYjgifQ=="/>
  </w:docVars>
  <w:rsids>
    <w:rsidRoot w:val="4CEF3972"/>
    <w:rsid w:val="1FF63E8B"/>
    <w:rsid w:val="4CEF39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Calibri" w:hAnsi="Calibri" w:eastAsia="宋体" w:cs="Times New Roman"/>
      <w:kern w:val="2"/>
      <w:sz w:val="21"/>
      <w:lang w:val="en-US" w:eastAsia="zh-CN" w:bidi="ar-SA"/>
    </w:rPr>
  </w:style>
  <w:style w:type="paragraph" w:styleId="2">
    <w:name w:val="heading 1"/>
    <w:basedOn w:val="3"/>
    <w:next w:val="1"/>
    <w:qFormat/>
    <w:uiPriority w:val="99"/>
    <w:pPr>
      <w:keepNext/>
      <w:keepLines/>
    </w:pPr>
    <w:rPr>
      <w:rFonts w:eastAsia="黑体"/>
      <w:kern w:val="44"/>
      <w:sz w:val="3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Title"/>
    <w:basedOn w:val="1"/>
    <w:next w:val="1"/>
    <w:qFormat/>
    <w:uiPriority w:val="0"/>
    <w:pPr>
      <w:snapToGrid w:val="0"/>
      <w:spacing w:before="240" w:after="60" w:line="360" w:lineRule="auto"/>
      <w:jc w:val="center"/>
      <w:outlineLvl w:val="0"/>
    </w:pPr>
    <w:rPr>
      <w:rFonts w:hint="default" w:ascii="Cambria" w:hAnsi="Cambria" w:cstheme="minorBidi"/>
      <w:b/>
      <w:bCs/>
      <w:sz w:val="32"/>
      <w:szCs w:val="32"/>
    </w:rPr>
  </w:style>
  <w:style w:type="paragraph" w:styleId="4">
    <w:name w:val="toa heading"/>
    <w:basedOn w:val="1"/>
    <w:next w:val="1"/>
    <w:qFormat/>
    <w:uiPriority w:val="99"/>
    <w:pPr>
      <w:spacing w:before="120"/>
    </w:pPr>
    <w:rPr>
      <w:rFonts w:ascii="Arial" w:hAnsi="Arial"/>
      <w:b/>
      <w:bCs/>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869</Words>
  <Characters>958</Characters>
  <Lines>0</Lines>
  <Paragraphs>0</Paragraphs>
  <TotalTime>0</TotalTime>
  <ScaleCrop>false</ScaleCrop>
  <LinksUpToDate>false</LinksUpToDate>
  <CharactersWithSpaces>966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2024-11-04T07:19:00Z</dcterms:created>
  <dc:creator>LuKe</dc:creator>
  <cp:lastModifiedBy>柠栀</cp:lastModifiedBy>
  <dcterms:modified xsi:type="dcterms:W3CDTF">2024-11-04T07:42:03Z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74B9FF6E06C14973A721B01195F5164E_13</vt:lpwstr>
  </property>
</Properties>
</file>