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580D0">
      <w:pPr>
        <w:pStyle w:val="3"/>
        <w:numPr>
          <w:ilvl w:val="0"/>
          <w:numId w:val="0"/>
        </w:numPr>
        <w:ind w:leftChars="0"/>
        <w:jc w:val="center"/>
        <w:rPr>
          <w:rFonts w:hint="default"/>
        </w:rPr>
      </w:pPr>
      <w:bookmarkStart w:id="0" w:name="_Toc49174315"/>
      <w:bookmarkStart w:id="37" w:name="_GoBack"/>
      <w:r>
        <w:rPr>
          <w:rFonts w:hint="eastAsia"/>
          <w:lang w:eastAsia="zh-CN"/>
        </w:rPr>
        <w:t>泰安市公共卫生医疗中心（泰安市职业病医院）诊断型听力计采购项目</w:t>
      </w:r>
      <w:r>
        <w:t>竞争性磋商公告</w:t>
      </w:r>
      <w:bookmarkEnd w:id="0"/>
    </w:p>
    <w:bookmarkEnd w:id="37"/>
    <w:p w14:paraId="6AC33ACC">
      <w:pPr>
        <w:rPr>
          <w:rFonts w:hint="default"/>
        </w:rPr>
      </w:pPr>
    </w:p>
    <w:p w14:paraId="6A66DEA3">
      <w:pPr>
        <w:spacing w:line="460" w:lineRule="exact"/>
        <w:ind w:firstLine="480" w:firstLineChars="200"/>
        <w:rPr>
          <w:rFonts w:hint="default" w:ascii="仿宋" w:hAnsi="仿宋" w:eastAsia="仿宋"/>
          <w:sz w:val="24"/>
          <w:szCs w:val="24"/>
        </w:rPr>
      </w:pPr>
      <w:bookmarkStart w:id="1" w:name="_Hlk74830273"/>
      <w:bookmarkStart w:id="2" w:name="_Hlk77750285"/>
      <w:r>
        <w:rPr>
          <w:rFonts w:ascii="黑体" w:hAnsi="黑体" w:eastAsia="黑体" w:cs="宋体"/>
          <w:bCs/>
          <w:sz w:val="24"/>
          <w:szCs w:val="24"/>
        </w:rPr>
        <w:t>一、项目基本情况</w:t>
      </w:r>
    </w:p>
    <w:p w14:paraId="7783BD3D">
      <w:pPr>
        <w:spacing w:line="460" w:lineRule="exact"/>
        <w:ind w:firstLine="480" w:firstLineChars="200"/>
        <w:rPr>
          <w:rFonts w:hint="default" w:ascii="仿宋" w:hAnsi="仿宋" w:eastAsia="仿宋" w:cs="Times New Roman"/>
          <w:sz w:val="24"/>
          <w:szCs w:val="24"/>
          <w:lang w:val="en-US" w:eastAsia="zh-CN"/>
        </w:rPr>
      </w:pPr>
      <w:r>
        <w:rPr>
          <w:rFonts w:ascii="仿宋" w:hAnsi="仿宋" w:eastAsia="仿宋" w:cs="Times New Roman"/>
          <w:sz w:val="24"/>
          <w:szCs w:val="24"/>
        </w:rPr>
        <w:t>项目编号：</w:t>
      </w:r>
      <w:r>
        <w:rPr>
          <w:rFonts w:hint="eastAsia" w:ascii="仿宋" w:hAnsi="仿宋" w:eastAsia="仿宋" w:cs="Times New Roman"/>
          <w:sz w:val="24"/>
          <w:szCs w:val="24"/>
          <w:lang w:val="zh-CN"/>
        </w:rPr>
        <w:t>SDJDL-2026-016</w:t>
      </w:r>
    </w:p>
    <w:p w14:paraId="4ED8ED87">
      <w:pPr>
        <w:spacing w:line="460" w:lineRule="exact"/>
        <w:ind w:firstLine="480" w:firstLineChars="200"/>
        <w:rPr>
          <w:rFonts w:hint="eastAsia" w:ascii="仿宋" w:hAnsi="仿宋" w:eastAsia="仿宋" w:cs="Times New Roman"/>
          <w:sz w:val="24"/>
          <w:szCs w:val="24"/>
          <w:lang w:eastAsia="zh-CN"/>
        </w:rPr>
      </w:pPr>
      <w:r>
        <w:rPr>
          <w:rFonts w:ascii="仿宋" w:hAnsi="仿宋" w:eastAsia="仿宋" w:cs="Times New Roman"/>
          <w:sz w:val="24"/>
          <w:szCs w:val="24"/>
        </w:rPr>
        <w:t>项目名称：</w:t>
      </w:r>
      <w:r>
        <w:rPr>
          <w:rFonts w:hint="eastAsia" w:ascii="仿宋" w:hAnsi="仿宋" w:eastAsia="仿宋" w:cs="Times New Roman"/>
          <w:sz w:val="24"/>
          <w:szCs w:val="24"/>
          <w:lang w:eastAsia="zh-CN"/>
        </w:rPr>
        <w:t>泰安市公共卫生医疗中心（泰安市职业病医院）诊断型听力计采购项目</w:t>
      </w:r>
    </w:p>
    <w:p w14:paraId="45B57E96">
      <w:pPr>
        <w:spacing w:line="460" w:lineRule="exact"/>
        <w:ind w:firstLine="480" w:firstLineChars="200"/>
        <w:rPr>
          <w:rFonts w:hint="default" w:ascii="仿宋" w:hAnsi="仿宋" w:eastAsia="仿宋" w:cs="Times New Roman"/>
          <w:sz w:val="24"/>
          <w:szCs w:val="24"/>
        </w:rPr>
      </w:pPr>
      <w:r>
        <w:rPr>
          <w:rFonts w:ascii="仿宋" w:hAnsi="仿宋" w:eastAsia="仿宋" w:cs="Times New Roman"/>
          <w:sz w:val="24"/>
          <w:szCs w:val="24"/>
        </w:rPr>
        <w:t>采购方式：竞争性磋商</w:t>
      </w:r>
    </w:p>
    <w:p w14:paraId="3EF2170C">
      <w:pPr>
        <w:spacing w:line="460" w:lineRule="exact"/>
        <w:ind w:firstLine="480" w:firstLineChars="200"/>
        <w:rPr>
          <w:rFonts w:hint="eastAsia" w:ascii="仿宋" w:hAnsi="仿宋" w:eastAsia="仿宋" w:cs="Times New Roman"/>
          <w:sz w:val="24"/>
          <w:szCs w:val="24"/>
          <w:lang w:val="en-US" w:eastAsia="zh-CN"/>
        </w:rPr>
      </w:pPr>
      <w:r>
        <w:rPr>
          <w:rFonts w:ascii="仿宋" w:hAnsi="仿宋" w:eastAsia="仿宋" w:cs="Times New Roman"/>
          <w:sz w:val="24"/>
          <w:szCs w:val="24"/>
        </w:rPr>
        <w:t>预算金额：</w:t>
      </w:r>
      <w:r>
        <w:rPr>
          <w:rFonts w:hint="eastAsia" w:ascii="仿宋" w:hAnsi="仿宋" w:eastAsia="仿宋" w:cs="Times New Roman"/>
          <w:sz w:val="24"/>
          <w:szCs w:val="24"/>
          <w:lang w:val="en-US" w:eastAsia="zh-CN"/>
        </w:rPr>
        <w:t>9万元</w:t>
      </w:r>
    </w:p>
    <w:p w14:paraId="27830149">
      <w:pPr>
        <w:spacing w:line="460" w:lineRule="exact"/>
        <w:ind w:firstLine="480" w:firstLineChars="200"/>
        <w:rPr>
          <w:rFonts w:hint="eastAsia" w:ascii="仿宋" w:hAnsi="仿宋" w:eastAsia="仿宋" w:cs="Times New Roman"/>
          <w:sz w:val="24"/>
          <w:szCs w:val="24"/>
          <w:lang w:eastAsia="zh-CN"/>
        </w:rPr>
      </w:pPr>
      <w:r>
        <w:rPr>
          <w:rFonts w:ascii="仿宋" w:hAnsi="仿宋" w:eastAsia="仿宋" w:cs="Times New Roman"/>
          <w:sz w:val="24"/>
          <w:szCs w:val="24"/>
        </w:rPr>
        <w:t>采购需求：</w:t>
      </w:r>
      <w:r>
        <w:rPr>
          <w:rFonts w:hint="eastAsia" w:ascii="仿宋" w:hAnsi="仿宋" w:eastAsia="仿宋" w:cs="Times New Roman"/>
          <w:sz w:val="24"/>
          <w:szCs w:val="24"/>
          <w:lang w:eastAsia="zh-CN"/>
        </w:rPr>
        <w:t>泰安市公共卫生医疗中心（泰安市职业病医院）诊断型听力计采购</w:t>
      </w:r>
    </w:p>
    <w:p w14:paraId="7DA8C755">
      <w:pPr>
        <w:spacing w:line="460" w:lineRule="exact"/>
        <w:ind w:firstLine="480" w:firstLineChars="200"/>
        <w:rPr>
          <w:rFonts w:ascii="仿宋" w:hAnsi="仿宋" w:eastAsia="仿宋" w:cs="Times New Roman"/>
          <w:sz w:val="24"/>
          <w:szCs w:val="24"/>
        </w:rPr>
      </w:pPr>
      <w:bookmarkStart w:id="3" w:name="_Toc4552"/>
      <w:bookmarkStart w:id="4" w:name="_Toc8343"/>
      <w:bookmarkStart w:id="5" w:name="_Toc28359080"/>
      <w:bookmarkStart w:id="6" w:name="_Toc35393622"/>
      <w:bookmarkStart w:id="7" w:name="_Toc35393791"/>
      <w:bookmarkStart w:id="8" w:name="_Toc28359003"/>
      <w:r>
        <w:rPr>
          <w:rFonts w:hint="eastAsia" w:ascii="仿宋" w:hAnsi="仿宋" w:eastAsia="仿宋" w:cs="Times New Roman"/>
          <w:sz w:val="24"/>
          <w:szCs w:val="24"/>
          <w:lang w:val="en-US" w:eastAsia="zh-CN"/>
        </w:rPr>
        <w:t>交货期</w:t>
      </w:r>
      <w:r>
        <w:rPr>
          <w:rFonts w:ascii="仿宋" w:hAnsi="仿宋" w:eastAsia="仿宋" w:cs="Times New Roman"/>
          <w:sz w:val="24"/>
          <w:szCs w:val="24"/>
        </w:rPr>
        <w:t>：</w:t>
      </w:r>
      <w:r>
        <w:rPr>
          <w:rFonts w:hint="default" w:ascii="仿宋_GB2312" w:hAnsi="仿宋" w:eastAsia="仿宋_GB2312"/>
          <w:sz w:val="24"/>
          <w:szCs w:val="24"/>
          <w:highlight w:val="none"/>
          <w:lang w:val="zh-CN"/>
        </w:rPr>
        <w:t>签订合同后</w:t>
      </w:r>
      <w:r>
        <w:rPr>
          <w:rFonts w:hint="eastAsia" w:ascii="仿宋_GB2312" w:hAnsi="仿宋" w:eastAsia="仿宋_GB2312"/>
          <w:sz w:val="24"/>
          <w:szCs w:val="24"/>
          <w:highlight w:val="none"/>
          <w:lang w:val="en-US" w:eastAsia="zh-CN"/>
        </w:rPr>
        <w:t>7</w:t>
      </w:r>
      <w:r>
        <w:rPr>
          <w:rFonts w:hint="default" w:ascii="仿宋_GB2312" w:hAnsi="仿宋" w:eastAsia="仿宋_GB2312"/>
          <w:sz w:val="24"/>
          <w:szCs w:val="24"/>
          <w:highlight w:val="none"/>
          <w:lang w:val="zh-CN"/>
        </w:rPr>
        <w:t>日历日内完成安装、调试并达到验收合格标准。</w:t>
      </w:r>
    </w:p>
    <w:p w14:paraId="041C75FA">
      <w:pPr>
        <w:spacing w:line="460" w:lineRule="exact"/>
        <w:ind w:firstLine="480" w:firstLineChars="200"/>
        <w:rPr>
          <w:rFonts w:hint="default" w:ascii="仿宋" w:hAnsi="仿宋" w:eastAsia="仿宋"/>
          <w:sz w:val="24"/>
          <w:szCs w:val="24"/>
          <w:u w:val="single"/>
        </w:rPr>
      </w:pPr>
      <w:r>
        <w:rPr>
          <w:rFonts w:ascii="黑体" w:hAnsi="黑体" w:eastAsia="黑体" w:cs="宋体"/>
          <w:bCs/>
          <w:sz w:val="24"/>
          <w:szCs w:val="24"/>
        </w:rPr>
        <w:t>二、申请人的资格要求</w:t>
      </w:r>
      <w:bookmarkEnd w:id="3"/>
      <w:bookmarkEnd w:id="4"/>
      <w:bookmarkEnd w:id="5"/>
      <w:bookmarkEnd w:id="6"/>
      <w:bookmarkEnd w:id="7"/>
      <w:bookmarkEnd w:id="8"/>
    </w:p>
    <w:p w14:paraId="6803C663">
      <w:pPr>
        <w:spacing w:line="460" w:lineRule="exact"/>
        <w:ind w:firstLine="480" w:firstLineChars="200"/>
        <w:rPr>
          <w:rFonts w:hint="default" w:ascii="仿宋" w:hAnsi="仿宋" w:eastAsia="仿宋"/>
          <w:sz w:val="24"/>
          <w:szCs w:val="24"/>
          <w:highlight w:val="none"/>
        </w:rPr>
      </w:pPr>
      <w:bookmarkStart w:id="9" w:name="_Toc35393623"/>
      <w:bookmarkStart w:id="10" w:name="_Toc28359004"/>
      <w:bookmarkStart w:id="11" w:name="_Toc6365"/>
      <w:bookmarkStart w:id="12" w:name="_Toc28359081"/>
      <w:bookmarkStart w:id="13" w:name="_Toc35393792"/>
      <w:bookmarkStart w:id="14" w:name="_Toc24991"/>
      <w:r>
        <w:rPr>
          <w:rFonts w:hint="default" w:ascii="仿宋" w:hAnsi="仿宋" w:eastAsia="仿宋"/>
          <w:sz w:val="24"/>
          <w:szCs w:val="24"/>
          <w:highlight w:val="none"/>
        </w:rPr>
        <w:t>1</w:t>
      </w:r>
      <w:r>
        <w:rPr>
          <w:rFonts w:ascii="仿宋" w:hAnsi="仿宋" w:eastAsia="仿宋"/>
          <w:sz w:val="24"/>
          <w:szCs w:val="24"/>
          <w:highlight w:val="none"/>
        </w:rPr>
        <w:t>、符合政府采购法第二十二条规定的相关条件；</w:t>
      </w:r>
    </w:p>
    <w:p w14:paraId="06223778">
      <w:pPr>
        <w:spacing w:line="460" w:lineRule="exact"/>
        <w:ind w:firstLine="480" w:firstLineChars="200"/>
        <w:rPr>
          <w:rFonts w:hint="default" w:ascii="仿宋" w:hAnsi="仿宋" w:eastAsia="仿宋"/>
          <w:sz w:val="24"/>
          <w:szCs w:val="24"/>
          <w:highlight w:val="none"/>
        </w:rPr>
      </w:pPr>
      <w:r>
        <w:rPr>
          <w:rFonts w:hint="default" w:ascii="仿宋" w:hAnsi="仿宋" w:eastAsia="仿宋"/>
          <w:sz w:val="24"/>
          <w:szCs w:val="24"/>
          <w:highlight w:val="none"/>
        </w:rPr>
        <w:t>2</w:t>
      </w:r>
      <w:r>
        <w:rPr>
          <w:rFonts w:hint="eastAsia" w:ascii="仿宋" w:hAnsi="仿宋" w:eastAsia="仿宋"/>
          <w:sz w:val="24"/>
          <w:szCs w:val="24"/>
          <w:highlight w:val="none"/>
          <w:lang w:eastAsia="zh-CN"/>
        </w:rPr>
        <w:t>、在中华人民共和国境内注册，具备有效的营业执照，并在人员、资金、设备上具有相应的供货、安装服务能力；</w:t>
      </w:r>
    </w:p>
    <w:p w14:paraId="67C4A889">
      <w:pPr>
        <w:spacing w:line="460" w:lineRule="exact"/>
        <w:ind w:firstLine="480" w:firstLineChars="200"/>
        <w:rPr>
          <w:rFonts w:hint="eastAsia" w:ascii="仿宋" w:hAnsi="仿宋" w:eastAsia="仿宋"/>
          <w:sz w:val="24"/>
          <w:szCs w:val="24"/>
          <w:highlight w:val="none"/>
          <w:lang w:val="en-US" w:eastAsia="zh-CN"/>
        </w:rPr>
      </w:pPr>
      <w:r>
        <w:rPr>
          <w:rFonts w:hint="default" w:ascii="仿宋" w:hAnsi="仿宋" w:eastAsia="仿宋"/>
          <w:sz w:val="24"/>
          <w:szCs w:val="24"/>
          <w:highlight w:val="none"/>
        </w:rPr>
        <w:t>3</w:t>
      </w:r>
      <w:r>
        <w:rPr>
          <w:rFonts w:hint="eastAsia" w:ascii="仿宋" w:hAnsi="仿宋" w:eastAsia="仿宋"/>
          <w:sz w:val="24"/>
          <w:szCs w:val="24"/>
          <w:highlight w:val="none"/>
          <w:lang w:val="en-US" w:eastAsia="zh-CN"/>
        </w:rPr>
        <w:t>.1投标人为制造商的，须具有《医疗器械生产许可证》或《医疗器械生产备案凭证》；投标人为代理商的，须具有《医疗器械经营许可证》或《医疗器械经营备案凭证》；</w:t>
      </w:r>
    </w:p>
    <w:p w14:paraId="45C08A23">
      <w:pPr>
        <w:spacing w:line="460" w:lineRule="exact"/>
        <w:ind w:firstLine="480" w:firstLineChars="200"/>
        <w:rPr>
          <w:rFonts w:hint="eastAsia" w:ascii="仿宋" w:hAnsi="仿宋" w:eastAsia="仿宋"/>
          <w:sz w:val="24"/>
          <w:szCs w:val="24"/>
          <w:highlight w:val="none"/>
          <w:lang w:val="en-US" w:eastAsia="zh-CN"/>
        </w:rPr>
      </w:pPr>
      <w:r>
        <w:rPr>
          <w:rFonts w:hint="eastAsia" w:ascii="仿宋" w:hAnsi="仿宋" w:eastAsia="仿宋"/>
          <w:sz w:val="24"/>
          <w:szCs w:val="24"/>
          <w:highlight w:val="none"/>
          <w:lang w:val="en-US" w:eastAsia="zh-CN"/>
        </w:rPr>
        <w:t>3.2须提供所投产品的《医疗器械注册证》；</w:t>
      </w:r>
    </w:p>
    <w:p w14:paraId="557ADA74">
      <w:pPr>
        <w:spacing w:line="460" w:lineRule="exact"/>
        <w:ind w:firstLine="480" w:firstLineChars="200"/>
        <w:rPr>
          <w:rFonts w:hint="default" w:ascii="仿宋" w:hAnsi="仿宋" w:eastAsia="仿宋"/>
          <w:sz w:val="24"/>
          <w:szCs w:val="24"/>
          <w:highlight w:val="none"/>
        </w:rPr>
      </w:pPr>
      <w:r>
        <w:rPr>
          <w:rFonts w:hint="eastAsia" w:ascii="仿宋" w:hAnsi="仿宋" w:eastAsia="仿宋"/>
          <w:sz w:val="24"/>
          <w:szCs w:val="24"/>
          <w:highlight w:val="none"/>
          <w:lang w:val="en-US" w:eastAsia="zh-CN"/>
        </w:rPr>
        <w:t>4、</w:t>
      </w:r>
      <w:r>
        <w:rPr>
          <w:rFonts w:ascii="仿宋" w:hAnsi="仿宋" w:eastAsia="仿宋"/>
          <w:sz w:val="24"/>
          <w:szCs w:val="24"/>
          <w:highlight w:val="none"/>
        </w:rPr>
        <w:t>本项目不接受联合体报价</w:t>
      </w:r>
      <w:r>
        <w:rPr>
          <w:rFonts w:hint="eastAsia" w:ascii="仿宋" w:hAnsi="仿宋" w:eastAsia="仿宋"/>
          <w:sz w:val="24"/>
          <w:szCs w:val="24"/>
          <w:highlight w:val="none"/>
          <w:lang w:eastAsia="zh-CN"/>
        </w:rPr>
        <w:t>。</w:t>
      </w:r>
      <w:r>
        <w:rPr>
          <w:rFonts w:ascii="仿宋" w:hAnsi="仿宋" w:eastAsia="仿宋"/>
          <w:sz w:val="24"/>
          <w:szCs w:val="24"/>
          <w:highlight w:val="none"/>
        </w:rPr>
        <w:t xml:space="preserve"> </w:t>
      </w:r>
    </w:p>
    <w:p w14:paraId="076EDDB2">
      <w:pPr>
        <w:spacing w:line="460" w:lineRule="exact"/>
        <w:ind w:firstLine="480" w:firstLineChars="200"/>
        <w:rPr>
          <w:rFonts w:hint="default" w:ascii="黑体" w:hAnsi="黑体" w:eastAsia="黑体" w:cs="宋体"/>
          <w:bCs/>
          <w:sz w:val="24"/>
          <w:szCs w:val="24"/>
        </w:rPr>
      </w:pPr>
      <w:r>
        <w:rPr>
          <w:rFonts w:ascii="黑体" w:hAnsi="黑体" w:eastAsia="黑体" w:cs="宋体"/>
          <w:bCs/>
          <w:sz w:val="24"/>
          <w:szCs w:val="24"/>
        </w:rPr>
        <w:t>三、获取采购文件</w:t>
      </w:r>
      <w:bookmarkEnd w:id="9"/>
      <w:bookmarkEnd w:id="10"/>
      <w:bookmarkEnd w:id="11"/>
      <w:bookmarkEnd w:id="12"/>
      <w:bookmarkEnd w:id="13"/>
      <w:bookmarkEnd w:id="14"/>
    </w:p>
    <w:p w14:paraId="5077A442">
      <w:pPr>
        <w:adjustRightInd w:val="0"/>
        <w:spacing w:line="480" w:lineRule="exact"/>
        <w:ind w:firstLine="480" w:firstLineChars="200"/>
        <w:rPr>
          <w:rFonts w:hint="eastAsia" w:ascii="仿宋_GB2312" w:hAnsi="宋体" w:eastAsia="仿宋_GB2312" w:cs="宋体"/>
          <w:sz w:val="24"/>
          <w:szCs w:val="24"/>
          <w:lang w:val="en-US" w:eastAsia="zh-CN"/>
        </w:rPr>
      </w:pPr>
      <w:bookmarkStart w:id="15" w:name="_Toc28359082"/>
      <w:bookmarkStart w:id="16" w:name="_Toc28359005"/>
      <w:bookmarkStart w:id="17" w:name="_Toc1976"/>
      <w:bookmarkStart w:id="18" w:name="_Toc35393624"/>
      <w:bookmarkStart w:id="19" w:name="_Toc2282"/>
      <w:bookmarkStart w:id="20" w:name="_Toc35393793"/>
      <w:r>
        <w:rPr>
          <w:rFonts w:hint="eastAsia" w:ascii="仿宋_GB2312" w:hAnsi="宋体" w:eastAsia="仿宋_GB2312" w:cs="宋体"/>
          <w:sz w:val="24"/>
          <w:szCs w:val="24"/>
          <w:lang w:val="en-US" w:eastAsia="zh-CN"/>
        </w:rPr>
        <w:t>1、</w:t>
      </w:r>
      <w:r>
        <w:rPr>
          <w:rFonts w:ascii="仿宋_GB2312" w:hAnsi="宋体" w:eastAsia="仿宋_GB2312" w:cs="宋体"/>
          <w:sz w:val="24"/>
          <w:szCs w:val="24"/>
        </w:rPr>
        <w:t>时间：</w:t>
      </w:r>
      <w:r>
        <w:rPr>
          <w:rFonts w:hint="eastAsia" w:ascii="仿宋_GB2312" w:hAnsi="宋体" w:eastAsia="仿宋_GB2312" w:cs="宋体"/>
          <w:sz w:val="24"/>
          <w:szCs w:val="24"/>
          <w:lang w:eastAsia="zh-CN"/>
        </w:rPr>
        <w:t>202</w:t>
      </w:r>
      <w:r>
        <w:rPr>
          <w:rFonts w:hint="eastAsia" w:ascii="仿宋_GB2312" w:hAnsi="宋体" w:eastAsia="仿宋_GB2312" w:cs="宋体"/>
          <w:sz w:val="24"/>
          <w:szCs w:val="24"/>
          <w:highlight w:val="none"/>
          <w:lang w:val="en-US" w:eastAsia="zh-CN"/>
        </w:rPr>
        <w:t>6</w:t>
      </w:r>
      <w:r>
        <w:rPr>
          <w:rFonts w:ascii="仿宋_GB2312" w:hAnsi="宋体" w:eastAsia="仿宋_GB2312" w:cs="宋体"/>
          <w:sz w:val="24"/>
          <w:szCs w:val="24"/>
          <w:highlight w:val="none"/>
        </w:rPr>
        <w:t>年</w:t>
      </w:r>
      <w:r>
        <w:rPr>
          <w:rFonts w:hint="eastAsia" w:ascii="仿宋_GB2312" w:hAnsi="宋体" w:eastAsia="仿宋_GB2312" w:cs="宋体"/>
          <w:sz w:val="24"/>
          <w:szCs w:val="24"/>
          <w:highlight w:val="none"/>
          <w:lang w:val="en-US" w:eastAsia="zh-CN"/>
        </w:rPr>
        <w:t>10</w:t>
      </w:r>
      <w:r>
        <w:rPr>
          <w:rFonts w:ascii="仿宋_GB2312" w:hAnsi="宋体" w:eastAsia="仿宋_GB2312" w:cs="宋体"/>
          <w:sz w:val="24"/>
          <w:szCs w:val="24"/>
          <w:highlight w:val="none"/>
        </w:rPr>
        <w:t>月</w:t>
      </w:r>
      <w:r>
        <w:rPr>
          <w:rFonts w:hint="eastAsia" w:ascii="仿宋_GB2312" w:hAnsi="宋体" w:eastAsia="仿宋_GB2312" w:cs="宋体"/>
          <w:sz w:val="24"/>
          <w:szCs w:val="24"/>
          <w:highlight w:val="none"/>
          <w:lang w:val="en-US" w:eastAsia="zh-CN"/>
        </w:rPr>
        <w:t>28</w:t>
      </w:r>
      <w:r>
        <w:rPr>
          <w:rFonts w:ascii="仿宋_GB2312" w:hAnsi="宋体" w:eastAsia="仿宋_GB2312" w:cs="宋体"/>
          <w:sz w:val="24"/>
          <w:szCs w:val="24"/>
          <w:highlight w:val="none"/>
        </w:rPr>
        <w:t>日至</w:t>
      </w:r>
      <w:r>
        <w:rPr>
          <w:rFonts w:hint="eastAsia" w:ascii="仿宋_GB2312" w:hAnsi="宋体" w:eastAsia="仿宋_GB2312" w:cs="宋体"/>
          <w:sz w:val="24"/>
          <w:szCs w:val="24"/>
          <w:highlight w:val="none"/>
          <w:lang w:eastAsia="zh-CN"/>
        </w:rPr>
        <w:t>20</w:t>
      </w:r>
      <w:r>
        <w:rPr>
          <w:rFonts w:hint="eastAsia" w:ascii="仿宋_GB2312" w:hAnsi="宋体" w:eastAsia="仿宋_GB2312" w:cs="宋体"/>
          <w:sz w:val="24"/>
          <w:szCs w:val="24"/>
          <w:highlight w:val="none"/>
          <w:lang w:val="en-US" w:eastAsia="zh-CN"/>
        </w:rPr>
        <w:t>26</w:t>
      </w:r>
      <w:r>
        <w:rPr>
          <w:rFonts w:ascii="仿宋_GB2312" w:hAnsi="宋体" w:eastAsia="仿宋_GB2312" w:cs="宋体"/>
          <w:sz w:val="24"/>
          <w:szCs w:val="24"/>
          <w:highlight w:val="none"/>
        </w:rPr>
        <w:t>年</w:t>
      </w:r>
      <w:r>
        <w:rPr>
          <w:rFonts w:hint="eastAsia" w:ascii="仿宋_GB2312" w:hAnsi="宋体" w:eastAsia="仿宋_GB2312" w:cs="宋体"/>
          <w:sz w:val="24"/>
          <w:szCs w:val="24"/>
          <w:highlight w:val="none"/>
          <w:lang w:val="en-US" w:eastAsia="zh-CN"/>
        </w:rPr>
        <w:t>11</w:t>
      </w:r>
      <w:r>
        <w:rPr>
          <w:rFonts w:ascii="仿宋_GB2312" w:hAnsi="宋体" w:eastAsia="仿宋_GB2312" w:cs="宋体"/>
          <w:sz w:val="24"/>
          <w:szCs w:val="24"/>
          <w:highlight w:val="none"/>
        </w:rPr>
        <w:t>月</w:t>
      </w:r>
      <w:r>
        <w:rPr>
          <w:rFonts w:hint="eastAsia" w:ascii="仿宋_GB2312" w:hAnsi="宋体" w:eastAsia="仿宋_GB2312" w:cs="宋体"/>
          <w:sz w:val="24"/>
          <w:szCs w:val="24"/>
          <w:highlight w:val="none"/>
          <w:lang w:val="en-US" w:eastAsia="zh-CN"/>
        </w:rPr>
        <w:t>03</w:t>
      </w:r>
      <w:r>
        <w:rPr>
          <w:rFonts w:ascii="仿宋_GB2312" w:hAnsi="宋体" w:eastAsia="仿宋_GB2312" w:cs="宋体"/>
          <w:sz w:val="24"/>
          <w:szCs w:val="24"/>
          <w:highlight w:val="none"/>
        </w:rPr>
        <w:t>日</w:t>
      </w:r>
      <w:r>
        <w:rPr>
          <w:rFonts w:ascii="仿宋_GB2312" w:hAnsi="宋体" w:eastAsia="仿宋_GB2312" w:cs="宋体"/>
          <w:sz w:val="24"/>
          <w:szCs w:val="24"/>
        </w:rPr>
        <w:t>，每天上午</w:t>
      </w:r>
      <w:r>
        <w:rPr>
          <w:rFonts w:ascii="仿宋_GB2312" w:hAnsi="宋体" w:eastAsia="仿宋_GB2312" w:cs="宋体"/>
          <w:sz w:val="24"/>
          <w:szCs w:val="24"/>
          <w:lang w:val="zh-CN"/>
        </w:rPr>
        <w:t>8时30分</w:t>
      </w:r>
      <w:r>
        <w:rPr>
          <w:rFonts w:ascii="仿宋_GB2312" w:hAnsi="宋体" w:eastAsia="仿宋_GB2312" w:cs="宋体"/>
          <w:sz w:val="24"/>
          <w:szCs w:val="24"/>
        </w:rPr>
        <w:t>至</w:t>
      </w:r>
      <w:r>
        <w:rPr>
          <w:rFonts w:ascii="仿宋_GB2312" w:hAnsi="宋体" w:eastAsia="仿宋_GB2312" w:cs="宋体"/>
          <w:sz w:val="24"/>
          <w:szCs w:val="24"/>
          <w:lang w:val="zh-CN"/>
        </w:rPr>
        <w:t>11时30分</w:t>
      </w:r>
      <w:r>
        <w:rPr>
          <w:rFonts w:ascii="仿宋_GB2312" w:hAnsi="宋体" w:eastAsia="仿宋_GB2312" w:cs="宋体"/>
          <w:sz w:val="24"/>
          <w:szCs w:val="24"/>
        </w:rPr>
        <w:t>，</w:t>
      </w:r>
      <w:r>
        <w:rPr>
          <w:rFonts w:ascii="仿宋_GB2312" w:hAnsi="宋体" w:eastAsia="仿宋_GB2312" w:cs="宋体"/>
          <w:sz w:val="24"/>
          <w:szCs w:val="24"/>
          <w:lang w:val="zh-CN"/>
        </w:rPr>
        <w:t>13时30分至16时30分</w:t>
      </w:r>
      <w:r>
        <w:rPr>
          <w:rFonts w:ascii="仿宋_GB2312" w:hAnsi="宋体" w:eastAsia="仿宋_GB2312" w:cs="宋体"/>
          <w:sz w:val="24"/>
          <w:szCs w:val="24"/>
        </w:rPr>
        <w:t>（北京时间，法定节假日除外）；</w:t>
      </w:r>
    </w:p>
    <w:p w14:paraId="3FDBC942">
      <w:pPr>
        <w:adjustRightInd w:val="0"/>
        <w:spacing w:line="480" w:lineRule="exact"/>
        <w:ind w:firstLine="480" w:firstLineChars="200"/>
        <w:rPr>
          <w:rFonts w:ascii="仿宋_GB2312" w:hAnsi="宋体" w:eastAsia="仿宋_GB2312" w:cs="宋体"/>
          <w:sz w:val="24"/>
          <w:szCs w:val="24"/>
        </w:rPr>
      </w:pPr>
      <w:r>
        <w:rPr>
          <w:rFonts w:hint="eastAsia" w:ascii="仿宋_GB2312" w:hAnsi="宋体" w:eastAsia="仿宋_GB2312" w:cs="宋体"/>
          <w:sz w:val="24"/>
          <w:szCs w:val="24"/>
          <w:lang w:val="en-US" w:eastAsia="zh-CN"/>
        </w:rPr>
        <w:t>2、获取</w:t>
      </w:r>
      <w:r>
        <w:rPr>
          <w:rFonts w:ascii="仿宋_GB2312" w:hAnsi="宋体" w:eastAsia="仿宋_GB2312" w:cs="宋体"/>
          <w:sz w:val="24"/>
          <w:szCs w:val="24"/>
        </w:rPr>
        <w:t>方式：</w:t>
      </w:r>
      <w:r>
        <w:rPr>
          <w:rFonts w:ascii="仿宋_GB2312" w:hAnsi="宋体" w:eastAsia="仿宋_GB2312" w:cs="宋体"/>
          <w:b/>
          <w:bCs/>
          <w:sz w:val="24"/>
          <w:szCs w:val="24"/>
        </w:rPr>
        <w:t>现场报名</w:t>
      </w:r>
      <w:r>
        <w:rPr>
          <w:rFonts w:hint="eastAsia" w:ascii="仿宋_GB2312" w:hAnsi="宋体" w:eastAsia="仿宋_GB2312" w:cs="宋体"/>
          <w:b/>
          <w:bCs/>
          <w:sz w:val="24"/>
          <w:szCs w:val="24"/>
          <w:lang w:val="en-US" w:eastAsia="zh-CN"/>
        </w:rPr>
        <w:t>或</w:t>
      </w:r>
      <w:r>
        <w:rPr>
          <w:rFonts w:hint="eastAsia" w:ascii="仿宋_GB2312" w:hAnsi="仿宋" w:eastAsia="仿宋_GB2312"/>
          <w:b/>
          <w:bCs/>
          <w:color w:val="000000"/>
          <w:sz w:val="24"/>
          <w:szCs w:val="24"/>
          <w:highlight w:val="none"/>
          <w:lang w:val="en-US" w:eastAsia="zh-CN"/>
        </w:rPr>
        <w:t>网上获取，</w:t>
      </w:r>
      <w:r>
        <w:rPr>
          <w:rFonts w:hint="eastAsia" w:ascii="仿宋_GB2312" w:hAnsi="仿宋" w:eastAsia="仿宋_GB2312" w:cs="Times New Roman"/>
          <w:b/>
          <w:bCs/>
          <w:color w:val="000000"/>
          <w:sz w:val="24"/>
          <w:szCs w:val="24"/>
          <w:highlight w:val="none"/>
          <w:lang w:val="en-US" w:eastAsia="zh-CN"/>
        </w:rPr>
        <w:t>供应</w:t>
      </w:r>
      <w:r>
        <w:rPr>
          <w:rFonts w:hint="eastAsia" w:ascii="仿宋_GB2312" w:hAnsi="仿宋" w:eastAsia="仿宋_GB2312" w:cs="Times New Roman"/>
          <w:b/>
          <w:bCs w:val="0"/>
          <w:color w:val="000000"/>
          <w:sz w:val="24"/>
          <w:szCs w:val="24"/>
          <w:highlight w:val="none"/>
          <w:lang w:val="en-US" w:eastAsia="zh-CN"/>
        </w:rPr>
        <w:t>商可根据自身需要选取以下任意一种方式进行报名。</w:t>
      </w:r>
    </w:p>
    <w:p w14:paraId="65018498">
      <w:pPr>
        <w:adjustRightInd w:val="0"/>
        <w:spacing w:line="480" w:lineRule="exact"/>
        <w:ind w:firstLine="480" w:firstLineChars="200"/>
        <w:rPr>
          <w:rFonts w:hint="eastAsia" w:ascii="仿宋_GB2312" w:hAnsi="仿宋" w:eastAsia="仿宋_GB2312"/>
          <w:b w:val="0"/>
          <w:bCs/>
          <w:color w:val="000000"/>
          <w:sz w:val="24"/>
          <w:szCs w:val="24"/>
          <w:highlight w:val="none"/>
          <w:lang w:eastAsia="zh-CN"/>
        </w:rPr>
      </w:pPr>
      <w:r>
        <w:rPr>
          <w:rFonts w:hint="eastAsia" w:ascii="仿宋_GB2312" w:hAnsi="宋体" w:eastAsia="仿宋_GB2312" w:cs="宋体"/>
          <w:sz w:val="24"/>
          <w:szCs w:val="24"/>
          <w:lang w:val="en-US" w:eastAsia="zh-CN"/>
        </w:rPr>
        <w:t>2.1</w:t>
      </w:r>
      <w:r>
        <w:rPr>
          <w:rFonts w:ascii="仿宋_GB2312" w:hAnsi="宋体" w:eastAsia="仿宋_GB2312" w:cs="宋体"/>
          <w:sz w:val="24"/>
          <w:szCs w:val="24"/>
        </w:rPr>
        <w:t>现场报名，</w:t>
      </w:r>
      <w:r>
        <w:rPr>
          <w:rFonts w:ascii="仿宋_GB2312" w:hAnsi="宋体" w:eastAsia="仿宋_GB2312" w:cs="宋体"/>
          <w:sz w:val="24"/>
          <w:szCs w:val="24"/>
          <w:lang w:val="zh-CN"/>
        </w:rPr>
        <w:t>凡有意参加本项目的供应商持营业执照</w:t>
      </w:r>
      <w:r>
        <w:rPr>
          <w:rFonts w:hint="eastAsia" w:ascii="仿宋_GB2312" w:hAnsi="宋体" w:eastAsia="仿宋_GB2312" w:cs="宋体"/>
          <w:sz w:val="24"/>
          <w:szCs w:val="24"/>
          <w:lang w:val="zh-CN"/>
        </w:rPr>
        <w:t>、</w:t>
      </w:r>
      <w:r>
        <w:rPr>
          <w:rFonts w:hint="eastAsia" w:ascii="仿宋_GB2312" w:hAnsi="仿宋" w:eastAsia="仿宋_GB2312"/>
          <w:b w:val="0"/>
          <w:bCs/>
          <w:color w:val="000000"/>
          <w:sz w:val="24"/>
          <w:szCs w:val="24"/>
          <w:highlight w:val="none"/>
          <w:lang w:val="en-US" w:eastAsia="zh-CN"/>
        </w:rPr>
        <w:t>《医疗器械注册证》、投标人为制造商的，提供《医疗器械生产许可证》或《医疗器械生产备案凭证》；投标人为代理商的，提供《医疗器械经营许可证》或《医疗器械经营备案凭证》、</w:t>
      </w:r>
      <w:r>
        <w:rPr>
          <w:rFonts w:ascii="仿宋_GB2312" w:hAnsi="宋体" w:eastAsia="仿宋_GB2312" w:cs="宋体"/>
          <w:sz w:val="24"/>
          <w:szCs w:val="24"/>
          <w:lang w:val="zh-CN"/>
        </w:rPr>
        <w:t>法定代表人身份证明或法定代表人授权委托书及被授权人身份证等证件原件及加盖公章复印件一套</w:t>
      </w:r>
      <w:r>
        <w:rPr>
          <w:rFonts w:ascii="仿宋_GB2312" w:hAnsi="仿宋" w:eastAsia="仿宋_GB2312"/>
          <w:b w:val="0"/>
          <w:bCs/>
          <w:color w:val="000000"/>
          <w:sz w:val="24"/>
          <w:szCs w:val="24"/>
          <w:highlight w:val="none"/>
        </w:rPr>
        <w:t>到</w:t>
      </w:r>
      <w:r>
        <w:rPr>
          <w:rFonts w:hint="eastAsia" w:ascii="仿宋_GB2312" w:hAnsi="仿宋" w:eastAsia="仿宋_GB2312"/>
          <w:b w:val="0"/>
          <w:bCs/>
          <w:color w:val="000000"/>
          <w:sz w:val="24"/>
          <w:szCs w:val="24"/>
          <w:highlight w:val="none"/>
          <w:lang w:val="zh-CN"/>
        </w:rPr>
        <w:t>山东金德莱项目管理有限公司</w:t>
      </w:r>
      <w:r>
        <w:rPr>
          <w:rFonts w:ascii="仿宋_GB2312" w:hAnsi="仿宋" w:eastAsia="仿宋_GB2312"/>
          <w:b w:val="0"/>
          <w:bCs/>
          <w:color w:val="000000"/>
          <w:sz w:val="24"/>
          <w:szCs w:val="24"/>
          <w:highlight w:val="none"/>
        </w:rPr>
        <w:t>（</w:t>
      </w:r>
      <w:r>
        <w:rPr>
          <w:rFonts w:hint="eastAsia" w:ascii="仿宋_GB2312" w:hAnsi="仿宋" w:eastAsia="仿宋_GB2312"/>
          <w:b w:val="0"/>
          <w:bCs/>
          <w:color w:val="000000"/>
          <w:sz w:val="24"/>
          <w:szCs w:val="24"/>
          <w:highlight w:val="none"/>
          <w:lang w:val="zh-CN"/>
        </w:rPr>
        <w:t>泰山区梦想谷产业园西侧商业楼2-113室</w:t>
      </w:r>
      <w:r>
        <w:rPr>
          <w:rFonts w:ascii="仿宋_GB2312" w:hAnsi="仿宋" w:eastAsia="仿宋_GB2312"/>
          <w:b w:val="0"/>
          <w:bCs/>
          <w:color w:val="000000"/>
          <w:sz w:val="24"/>
          <w:szCs w:val="24"/>
          <w:highlight w:val="none"/>
        </w:rPr>
        <w:t>）报名并领取</w:t>
      </w:r>
      <w:r>
        <w:rPr>
          <w:rFonts w:hint="eastAsia" w:ascii="仿宋_GB2312" w:hAnsi="仿宋" w:eastAsia="仿宋_GB2312"/>
          <w:b w:val="0"/>
          <w:bCs/>
          <w:color w:val="000000"/>
          <w:sz w:val="24"/>
          <w:szCs w:val="24"/>
          <w:highlight w:val="none"/>
          <w:lang w:eastAsia="zh-CN"/>
        </w:rPr>
        <w:t>竞争性磋商文件。</w:t>
      </w:r>
    </w:p>
    <w:p w14:paraId="60D6271B">
      <w:pPr>
        <w:adjustRightInd w:val="0"/>
        <w:spacing w:line="480" w:lineRule="exact"/>
        <w:ind w:firstLine="480" w:firstLineChars="200"/>
        <w:rPr>
          <w:rFonts w:hint="eastAsia" w:ascii="仿宋_GB2312" w:hAnsi="仿宋" w:eastAsia="仿宋_GB2312"/>
          <w:b w:val="0"/>
          <w:bCs/>
          <w:color w:val="000000"/>
          <w:sz w:val="24"/>
          <w:szCs w:val="24"/>
          <w:highlight w:val="none"/>
          <w:lang w:val="en-US" w:eastAsia="zh-CN"/>
        </w:rPr>
      </w:pPr>
      <w:r>
        <w:rPr>
          <w:rFonts w:hint="eastAsia" w:ascii="仿宋_GB2312" w:hAnsi="仿宋" w:eastAsia="仿宋_GB2312"/>
          <w:b w:val="0"/>
          <w:bCs/>
          <w:color w:val="000000"/>
          <w:sz w:val="24"/>
          <w:szCs w:val="24"/>
          <w:highlight w:val="none"/>
          <w:lang w:val="en-US" w:eastAsia="zh-CN"/>
        </w:rPr>
        <w:t>2.2 网上获取；获取竞争性磋商文件时需提供以下材料：1.营业执照、2.法定代表人资格证明书或法定代表人授权书；3.投标人为制造商的，提供《医疗器械生产许可证》或《医疗器械生产备案凭证》；投标人为代理商的，提供《医疗器械经营许可证》或《医疗器械经营备案凭证》；4.须提供所投产品的《医疗器械注册证》；</w:t>
      </w:r>
    </w:p>
    <w:p w14:paraId="62AF2A39">
      <w:pPr>
        <w:adjustRightInd w:val="0"/>
        <w:spacing w:line="480" w:lineRule="exact"/>
        <w:ind w:firstLine="480" w:firstLineChars="200"/>
        <w:rPr>
          <w:rFonts w:hint="default" w:ascii="仿宋_GB2312" w:hAnsi="仿宋" w:eastAsia="仿宋_GB2312"/>
          <w:b w:val="0"/>
          <w:bCs/>
          <w:color w:val="000000"/>
          <w:sz w:val="24"/>
          <w:szCs w:val="24"/>
          <w:highlight w:val="none"/>
          <w:lang w:val="en-US" w:eastAsia="zh-CN"/>
        </w:rPr>
      </w:pPr>
      <w:r>
        <w:rPr>
          <w:rFonts w:hint="eastAsia" w:ascii="仿宋_GB2312" w:hAnsi="仿宋" w:eastAsia="仿宋_GB2312"/>
          <w:b w:val="0"/>
          <w:bCs/>
          <w:color w:val="000000"/>
          <w:sz w:val="24"/>
          <w:szCs w:val="24"/>
          <w:highlight w:val="none"/>
          <w:lang w:val="en-US" w:eastAsia="zh-CN"/>
        </w:rPr>
        <w:t>获取方式：网上发送。投标供应商采取发送电子邮件方式提交报名材料，邮件主题：项目名称+项目编号+公司名称；邮件内容：列明公司名称、法定代表人或授权代表人姓名及联系方式；邮件附件：需采用A4纸幅面，将报名材料按顺序制作成1个PDF格式文件，文件名称与主题一致，复印件扫描无效。报名材料审核通过后，供应商按回复邮件要求缴纳文件费并发送缴款凭证至代理机构邮箱，收到缴款凭证后代理机构联系人向供应商邮箱发送竞争性磋商文件电子版；审核未通过的，代理机构联系人以邮件形式回复审核情况，供应商可在竞争性磋商文件申领时间内重新提交材料。代理机构邮箱：shandongjindelai@163.com。</w:t>
      </w:r>
    </w:p>
    <w:p w14:paraId="2577A220">
      <w:pPr>
        <w:adjustRightInd w:val="0"/>
        <w:spacing w:line="480" w:lineRule="exact"/>
        <w:ind w:firstLine="482" w:firstLineChars="200"/>
        <w:rPr>
          <w:rFonts w:hint="default" w:ascii="仿宋_GB2312" w:hAnsi="仿宋" w:eastAsia="仿宋_GB2312"/>
          <w:b/>
          <w:bCs w:val="0"/>
          <w:color w:val="000000"/>
          <w:sz w:val="24"/>
          <w:szCs w:val="24"/>
          <w:highlight w:val="none"/>
        </w:rPr>
      </w:pPr>
      <w:r>
        <w:rPr>
          <w:rFonts w:ascii="仿宋_GB2312" w:hAnsi="仿宋" w:eastAsia="仿宋_GB2312"/>
          <w:b/>
          <w:bCs w:val="0"/>
          <w:color w:val="000000"/>
          <w:sz w:val="24"/>
          <w:szCs w:val="24"/>
          <w:highlight w:val="none"/>
        </w:rPr>
        <w:t>注：资料查验成功后方视为报名有效，报名时的资料查验不代表资格审查的最终通过或合格。</w:t>
      </w:r>
    </w:p>
    <w:p w14:paraId="1C3782A6">
      <w:pPr>
        <w:adjustRightInd w:val="0"/>
        <w:spacing w:line="480" w:lineRule="exact"/>
        <w:ind w:firstLine="482" w:firstLineChars="200"/>
        <w:rPr>
          <w:rFonts w:hint="default" w:ascii="仿宋_GB2312" w:hAnsi="仿宋" w:eastAsia="仿宋_GB2312"/>
          <w:b w:val="0"/>
          <w:bCs/>
          <w:color w:val="000000"/>
          <w:sz w:val="24"/>
          <w:szCs w:val="24"/>
          <w:lang w:val="zh-CN"/>
        </w:rPr>
      </w:pPr>
      <w:r>
        <w:rPr>
          <w:rFonts w:hint="eastAsia" w:ascii="仿宋_GB2312" w:hAnsi="仿宋" w:eastAsia="仿宋_GB2312" w:cs="Times New Roman"/>
          <w:b/>
          <w:bCs w:val="0"/>
          <w:color w:val="000000"/>
          <w:sz w:val="24"/>
          <w:szCs w:val="24"/>
          <w:highlight w:val="none"/>
          <w:lang w:eastAsia="zh-CN"/>
        </w:rPr>
        <w:t>竞争性磋商文件</w:t>
      </w:r>
      <w:r>
        <w:rPr>
          <w:rFonts w:ascii="仿宋_GB2312" w:hAnsi="仿宋" w:eastAsia="仿宋_GB2312" w:cs="Times New Roman"/>
          <w:b/>
          <w:bCs w:val="0"/>
          <w:color w:val="000000"/>
          <w:sz w:val="24"/>
          <w:szCs w:val="24"/>
          <w:highlight w:val="none"/>
        </w:rPr>
        <w:t>售价：每套人民币</w:t>
      </w:r>
      <w:r>
        <w:rPr>
          <w:rFonts w:hint="eastAsia" w:ascii="仿宋_GB2312" w:hAnsi="仿宋" w:eastAsia="仿宋_GB2312" w:cs="Times New Roman"/>
          <w:b/>
          <w:bCs w:val="0"/>
          <w:color w:val="000000"/>
          <w:sz w:val="24"/>
          <w:szCs w:val="24"/>
          <w:highlight w:val="none"/>
          <w:lang w:val="en-US" w:eastAsia="zh-CN"/>
        </w:rPr>
        <w:t>3</w:t>
      </w:r>
      <w:r>
        <w:rPr>
          <w:rFonts w:hint="default" w:ascii="仿宋_GB2312" w:hAnsi="仿宋" w:eastAsia="仿宋_GB2312" w:cs="Times New Roman"/>
          <w:b/>
          <w:bCs w:val="0"/>
          <w:color w:val="000000"/>
          <w:sz w:val="24"/>
          <w:szCs w:val="24"/>
          <w:highlight w:val="none"/>
        </w:rPr>
        <w:t>00</w:t>
      </w:r>
      <w:r>
        <w:rPr>
          <w:rFonts w:ascii="仿宋_GB2312" w:hAnsi="仿宋" w:eastAsia="仿宋_GB2312" w:cs="Times New Roman"/>
          <w:b/>
          <w:bCs w:val="0"/>
          <w:color w:val="000000"/>
          <w:sz w:val="24"/>
          <w:szCs w:val="24"/>
          <w:highlight w:val="none"/>
        </w:rPr>
        <w:t>元整，售后不退。</w:t>
      </w:r>
    </w:p>
    <w:p w14:paraId="0127B3CB">
      <w:pPr>
        <w:spacing w:line="460" w:lineRule="exact"/>
        <w:ind w:firstLine="480" w:firstLineChars="200"/>
        <w:rPr>
          <w:rFonts w:hint="default" w:ascii="仿宋" w:hAnsi="仿宋" w:eastAsia="仿宋"/>
          <w:sz w:val="24"/>
          <w:szCs w:val="24"/>
        </w:rPr>
      </w:pPr>
      <w:r>
        <w:rPr>
          <w:rFonts w:ascii="黑体" w:hAnsi="黑体" w:eastAsia="黑体" w:cs="宋体"/>
          <w:bCs/>
          <w:sz w:val="24"/>
          <w:szCs w:val="24"/>
        </w:rPr>
        <w:t>四、提交</w:t>
      </w:r>
      <w:bookmarkEnd w:id="15"/>
      <w:bookmarkEnd w:id="16"/>
      <w:r>
        <w:rPr>
          <w:rFonts w:ascii="黑体" w:hAnsi="黑体" w:eastAsia="黑体" w:cs="宋体"/>
          <w:bCs/>
          <w:sz w:val="24"/>
          <w:szCs w:val="24"/>
        </w:rPr>
        <w:t>响应文件截止时间、开标时间和地点</w:t>
      </w:r>
      <w:bookmarkEnd w:id="17"/>
      <w:bookmarkEnd w:id="18"/>
      <w:bookmarkEnd w:id="19"/>
      <w:bookmarkEnd w:id="20"/>
    </w:p>
    <w:p w14:paraId="07EC82BB">
      <w:pPr>
        <w:spacing w:line="460" w:lineRule="exact"/>
        <w:ind w:firstLine="480" w:firstLineChars="200"/>
        <w:rPr>
          <w:rFonts w:hint="default" w:ascii="仿宋" w:hAnsi="仿宋" w:eastAsia="仿宋"/>
          <w:sz w:val="24"/>
          <w:szCs w:val="24"/>
          <w:highlight w:val="none"/>
        </w:rPr>
      </w:pPr>
      <w:bookmarkStart w:id="21" w:name="_Toc28359007"/>
      <w:bookmarkStart w:id="22" w:name="_Toc13572"/>
      <w:bookmarkStart w:id="23" w:name="_Toc35393625"/>
      <w:bookmarkStart w:id="24" w:name="_Toc35393794"/>
      <w:bookmarkStart w:id="25" w:name="_Toc28359084"/>
      <w:bookmarkStart w:id="26" w:name="_Toc1752"/>
      <w:r>
        <w:rPr>
          <w:rFonts w:ascii="仿宋" w:hAnsi="仿宋" w:eastAsia="仿宋"/>
          <w:sz w:val="24"/>
          <w:szCs w:val="24"/>
          <w:highlight w:val="none"/>
        </w:rPr>
        <w:t>1.时间：</w:t>
      </w:r>
      <w:r>
        <w:rPr>
          <w:rFonts w:hint="eastAsia" w:ascii="仿宋" w:hAnsi="仿宋" w:eastAsia="仿宋"/>
          <w:sz w:val="24"/>
          <w:szCs w:val="24"/>
          <w:highlight w:val="none"/>
          <w:lang w:eastAsia="zh-CN"/>
        </w:rPr>
        <w:t>2026</w:t>
      </w:r>
      <w:r>
        <w:rPr>
          <w:rFonts w:ascii="仿宋" w:hAnsi="仿宋" w:eastAsia="仿宋"/>
          <w:sz w:val="24"/>
          <w:szCs w:val="24"/>
          <w:highlight w:val="none"/>
        </w:rPr>
        <w:t>年</w:t>
      </w:r>
      <w:r>
        <w:rPr>
          <w:rFonts w:hint="eastAsia" w:ascii="仿宋" w:hAnsi="仿宋" w:eastAsia="仿宋"/>
          <w:sz w:val="24"/>
          <w:szCs w:val="24"/>
          <w:highlight w:val="none"/>
          <w:lang w:val="en-US" w:eastAsia="zh-CN"/>
        </w:rPr>
        <w:t>11</w:t>
      </w:r>
      <w:r>
        <w:rPr>
          <w:rFonts w:ascii="仿宋" w:hAnsi="仿宋" w:eastAsia="仿宋"/>
          <w:sz w:val="24"/>
          <w:szCs w:val="24"/>
          <w:highlight w:val="none"/>
        </w:rPr>
        <w:t>月</w:t>
      </w:r>
      <w:r>
        <w:rPr>
          <w:rFonts w:hint="eastAsia" w:ascii="仿宋" w:hAnsi="仿宋" w:eastAsia="仿宋"/>
          <w:sz w:val="24"/>
          <w:szCs w:val="24"/>
          <w:highlight w:val="none"/>
          <w:lang w:val="en-US" w:eastAsia="zh-CN"/>
        </w:rPr>
        <w:t>09</w:t>
      </w:r>
      <w:r>
        <w:rPr>
          <w:rFonts w:ascii="仿宋" w:hAnsi="仿宋" w:eastAsia="仿宋"/>
          <w:sz w:val="24"/>
          <w:szCs w:val="24"/>
          <w:highlight w:val="none"/>
        </w:rPr>
        <w:t>日</w:t>
      </w:r>
      <w:r>
        <w:rPr>
          <w:rFonts w:hint="eastAsia" w:ascii="仿宋" w:hAnsi="仿宋" w:eastAsia="仿宋"/>
          <w:sz w:val="24"/>
          <w:szCs w:val="24"/>
          <w:highlight w:val="none"/>
          <w:lang w:val="en-US" w:eastAsia="zh-CN"/>
        </w:rPr>
        <w:t>09</w:t>
      </w:r>
      <w:r>
        <w:rPr>
          <w:rFonts w:ascii="仿宋" w:hAnsi="仿宋" w:eastAsia="仿宋"/>
          <w:sz w:val="24"/>
          <w:szCs w:val="24"/>
          <w:highlight w:val="none"/>
        </w:rPr>
        <w:t>时</w:t>
      </w:r>
      <w:r>
        <w:rPr>
          <w:rFonts w:hint="eastAsia" w:ascii="仿宋" w:hAnsi="仿宋" w:eastAsia="仿宋"/>
          <w:sz w:val="24"/>
          <w:szCs w:val="24"/>
          <w:highlight w:val="none"/>
          <w:lang w:val="en-US" w:eastAsia="zh-CN"/>
        </w:rPr>
        <w:t>00</w:t>
      </w:r>
      <w:r>
        <w:rPr>
          <w:rFonts w:ascii="仿宋" w:hAnsi="仿宋" w:eastAsia="仿宋"/>
          <w:sz w:val="24"/>
          <w:szCs w:val="24"/>
          <w:highlight w:val="none"/>
        </w:rPr>
        <w:t>分（北京时间）</w:t>
      </w:r>
    </w:p>
    <w:p w14:paraId="56FAE317">
      <w:pPr>
        <w:spacing w:line="460" w:lineRule="exact"/>
        <w:ind w:firstLine="480" w:firstLineChars="200"/>
        <w:rPr>
          <w:rFonts w:hint="eastAsia" w:ascii="仿宋" w:hAnsi="仿宋" w:eastAsia="仿宋"/>
          <w:sz w:val="24"/>
          <w:szCs w:val="24"/>
          <w:highlight w:val="none"/>
          <w:lang w:val="en-US" w:eastAsia="zh-CN"/>
        </w:rPr>
      </w:pPr>
      <w:r>
        <w:rPr>
          <w:rFonts w:ascii="仿宋" w:hAnsi="仿宋" w:eastAsia="仿宋"/>
          <w:sz w:val="24"/>
          <w:szCs w:val="24"/>
          <w:highlight w:val="none"/>
        </w:rPr>
        <w:t>2.地点：</w:t>
      </w:r>
      <w:r>
        <w:rPr>
          <w:rFonts w:hint="eastAsia" w:ascii="仿宋" w:hAnsi="仿宋" w:eastAsia="仿宋"/>
          <w:sz w:val="24"/>
          <w:szCs w:val="24"/>
          <w:highlight w:val="none"/>
          <w:lang w:val="en-US" w:eastAsia="zh-CN"/>
        </w:rPr>
        <w:t>泰山区梦想谷产业园西侧商业楼2-113室</w:t>
      </w:r>
    </w:p>
    <w:p w14:paraId="3ACD76A9">
      <w:pPr>
        <w:spacing w:line="460" w:lineRule="exact"/>
        <w:ind w:firstLine="480" w:firstLineChars="200"/>
        <w:rPr>
          <w:rFonts w:hint="default" w:ascii="仿宋" w:hAnsi="仿宋" w:eastAsia="仿宋"/>
          <w:sz w:val="24"/>
          <w:szCs w:val="24"/>
        </w:rPr>
      </w:pPr>
      <w:r>
        <w:rPr>
          <w:rFonts w:ascii="黑体" w:hAnsi="黑体" w:eastAsia="黑体" w:cs="宋体"/>
          <w:bCs/>
          <w:sz w:val="24"/>
          <w:szCs w:val="24"/>
        </w:rPr>
        <w:t>五、公告期限</w:t>
      </w:r>
      <w:bookmarkEnd w:id="21"/>
      <w:bookmarkEnd w:id="22"/>
      <w:bookmarkEnd w:id="23"/>
      <w:bookmarkEnd w:id="24"/>
      <w:bookmarkEnd w:id="25"/>
      <w:bookmarkEnd w:id="26"/>
    </w:p>
    <w:p w14:paraId="244B5DEA">
      <w:pPr>
        <w:spacing w:line="460" w:lineRule="exact"/>
        <w:ind w:firstLine="480" w:firstLineChars="200"/>
        <w:rPr>
          <w:rFonts w:hint="default" w:ascii="仿宋" w:hAnsi="仿宋" w:eastAsia="仿宋" w:cs="宋体"/>
          <w:kern w:val="0"/>
          <w:sz w:val="24"/>
          <w:szCs w:val="24"/>
        </w:rPr>
      </w:pPr>
      <w:r>
        <w:rPr>
          <w:rFonts w:ascii="仿宋" w:hAnsi="仿宋" w:eastAsia="仿宋" w:cs="宋体"/>
          <w:kern w:val="0"/>
          <w:sz w:val="24"/>
          <w:szCs w:val="24"/>
        </w:rPr>
        <w:t>自本公告发布之日起</w:t>
      </w:r>
      <w:r>
        <w:rPr>
          <w:rFonts w:hint="eastAsia" w:ascii="仿宋" w:hAnsi="仿宋" w:eastAsia="仿宋" w:cs="宋体"/>
          <w:kern w:val="0"/>
          <w:sz w:val="24"/>
          <w:szCs w:val="24"/>
          <w:lang w:val="en-US" w:eastAsia="zh-CN"/>
        </w:rPr>
        <w:t>3</w:t>
      </w:r>
      <w:r>
        <w:rPr>
          <w:rFonts w:ascii="仿宋" w:hAnsi="仿宋" w:eastAsia="仿宋" w:cs="宋体"/>
          <w:kern w:val="0"/>
          <w:sz w:val="24"/>
          <w:szCs w:val="24"/>
        </w:rPr>
        <w:t>个工作日。</w:t>
      </w:r>
      <w:bookmarkStart w:id="27" w:name="_Toc35393795"/>
      <w:bookmarkStart w:id="28" w:name="_Toc35393626"/>
      <w:bookmarkStart w:id="29" w:name="_Toc27912"/>
      <w:bookmarkStart w:id="30" w:name="_Toc22718"/>
    </w:p>
    <w:p w14:paraId="30FFDD5C">
      <w:pPr>
        <w:spacing w:line="460" w:lineRule="exact"/>
        <w:ind w:firstLine="480" w:firstLineChars="200"/>
        <w:rPr>
          <w:rFonts w:hint="default" w:ascii="仿宋" w:hAnsi="仿宋" w:eastAsia="仿宋" w:cs="宋体"/>
          <w:kern w:val="0"/>
          <w:sz w:val="24"/>
          <w:szCs w:val="24"/>
          <w:highlight w:val="none"/>
        </w:rPr>
      </w:pPr>
      <w:r>
        <w:rPr>
          <w:rFonts w:ascii="黑体" w:hAnsi="黑体" w:eastAsia="黑体" w:cs="宋体"/>
          <w:bCs/>
          <w:sz w:val="24"/>
          <w:szCs w:val="24"/>
          <w:highlight w:val="none"/>
        </w:rPr>
        <w:t>六、</w:t>
      </w:r>
      <w:bookmarkEnd w:id="27"/>
      <w:bookmarkEnd w:id="28"/>
      <w:bookmarkEnd w:id="29"/>
      <w:bookmarkEnd w:id="30"/>
      <w:r>
        <w:rPr>
          <w:rFonts w:ascii="黑体" w:hAnsi="黑体" w:eastAsia="黑体" w:cs="宋体"/>
          <w:bCs/>
          <w:sz w:val="24"/>
          <w:szCs w:val="24"/>
          <w:highlight w:val="none"/>
        </w:rPr>
        <w:t>公告媒体</w:t>
      </w:r>
    </w:p>
    <w:p w14:paraId="3D53E6F1">
      <w:pPr>
        <w:spacing w:line="460" w:lineRule="exact"/>
        <w:ind w:firstLine="480" w:firstLineChars="200"/>
        <w:rPr>
          <w:rFonts w:ascii="仿宋" w:hAnsi="仿宋" w:eastAsia="仿宋"/>
          <w:sz w:val="24"/>
          <w:szCs w:val="24"/>
          <w:highlight w:val="none"/>
          <w:lang w:val="zh-CN"/>
        </w:rPr>
      </w:pPr>
      <w:bookmarkStart w:id="31" w:name="_Toc35393627"/>
      <w:bookmarkStart w:id="32" w:name="_Toc35393796"/>
      <w:bookmarkStart w:id="33" w:name="_Toc28359085"/>
      <w:bookmarkStart w:id="34" w:name="_Toc7720"/>
      <w:bookmarkStart w:id="35" w:name="_Toc26931"/>
      <w:bookmarkStart w:id="36" w:name="_Toc28359008"/>
      <w:r>
        <w:rPr>
          <w:rFonts w:hint="eastAsia" w:ascii="仿宋" w:hAnsi="仿宋" w:eastAsia="仿宋"/>
          <w:sz w:val="24"/>
          <w:szCs w:val="24"/>
          <w:highlight w:val="none"/>
          <w:lang w:val="zh-CN"/>
        </w:rPr>
        <w:t>泰安市公共卫生医疗中心（泰安市职业病医院）</w:t>
      </w:r>
      <w:r>
        <w:rPr>
          <w:rFonts w:ascii="仿宋" w:hAnsi="仿宋" w:eastAsia="仿宋"/>
          <w:sz w:val="24"/>
          <w:szCs w:val="24"/>
          <w:highlight w:val="none"/>
          <w:lang w:val="zh-CN"/>
        </w:rPr>
        <w:t>官网</w:t>
      </w:r>
    </w:p>
    <w:p w14:paraId="70EE200D">
      <w:pPr>
        <w:spacing w:line="460" w:lineRule="exact"/>
        <w:ind w:firstLine="480" w:firstLineChars="200"/>
        <w:rPr>
          <w:rFonts w:hint="eastAsia" w:ascii="黑体" w:hAnsi="黑体" w:eastAsia="黑体" w:cs="宋体"/>
          <w:bCs/>
          <w:sz w:val="24"/>
          <w:szCs w:val="24"/>
          <w:highlight w:val="none"/>
          <w:lang w:val="zh-CN"/>
        </w:rPr>
      </w:pPr>
      <w:r>
        <w:rPr>
          <w:rFonts w:hint="eastAsia" w:ascii="黑体" w:hAnsi="黑体" w:eastAsia="黑体" w:cs="宋体"/>
          <w:bCs/>
          <w:sz w:val="24"/>
          <w:szCs w:val="24"/>
          <w:highlight w:val="none"/>
          <w:lang w:val="en-US" w:eastAsia="zh-CN"/>
        </w:rPr>
        <w:t>七、</w:t>
      </w:r>
      <w:r>
        <w:rPr>
          <w:rFonts w:hint="eastAsia" w:ascii="黑体" w:hAnsi="黑体" w:eastAsia="黑体" w:cs="宋体"/>
          <w:bCs/>
          <w:sz w:val="24"/>
          <w:szCs w:val="24"/>
          <w:highlight w:val="none"/>
          <w:lang w:val="zh-CN"/>
        </w:rPr>
        <w:t>其他补充事宜</w:t>
      </w:r>
    </w:p>
    <w:p w14:paraId="5E1C4920">
      <w:pPr>
        <w:spacing w:line="460" w:lineRule="exact"/>
        <w:ind w:firstLine="480" w:firstLineChars="200"/>
        <w:rPr>
          <w:rFonts w:ascii="仿宋" w:hAnsi="仿宋" w:eastAsia="仿宋"/>
          <w:sz w:val="24"/>
          <w:szCs w:val="24"/>
          <w:highlight w:val="none"/>
          <w:lang w:val="zh-CN"/>
        </w:rPr>
      </w:pPr>
      <w:r>
        <w:rPr>
          <w:rFonts w:hint="eastAsia" w:ascii="仿宋" w:hAnsi="仿宋" w:eastAsia="仿宋"/>
          <w:sz w:val="24"/>
          <w:szCs w:val="24"/>
          <w:highlight w:val="none"/>
          <w:lang w:val="zh-CN"/>
        </w:rPr>
        <w:t>供应商满足异议(质疑)条件可通过邮箱及纸质材料向采购人、代理机构提出异议(质疑):异议(质疑)应符合本项目采购文件“异议(质疑与投诉)”章节有关要求:采购人或代理机构应同时答复。联系电话：</w:t>
      </w:r>
      <w:r>
        <w:rPr>
          <w:rFonts w:hint="eastAsia" w:ascii="仿宋" w:hAnsi="仿宋" w:eastAsia="仿宋"/>
          <w:sz w:val="24"/>
          <w:szCs w:val="24"/>
          <w:highlight w:val="none"/>
          <w:lang w:val="zh-CN" w:eastAsia="zh-CN"/>
        </w:rPr>
        <w:t>0538-8663567</w:t>
      </w:r>
    </w:p>
    <w:p w14:paraId="5518E218">
      <w:pPr>
        <w:spacing w:line="460" w:lineRule="exact"/>
        <w:ind w:firstLine="480" w:firstLineChars="200"/>
        <w:rPr>
          <w:rFonts w:hint="default" w:ascii="仿宋" w:hAnsi="仿宋" w:eastAsia="仿宋"/>
          <w:sz w:val="24"/>
          <w:szCs w:val="24"/>
        </w:rPr>
      </w:pPr>
      <w:r>
        <w:rPr>
          <w:rFonts w:hint="eastAsia" w:ascii="黑体" w:hAnsi="黑体" w:eastAsia="黑体" w:cs="宋体"/>
          <w:bCs/>
          <w:sz w:val="24"/>
          <w:szCs w:val="24"/>
          <w:lang w:val="en-US" w:eastAsia="zh-CN"/>
        </w:rPr>
        <w:t>八</w:t>
      </w:r>
      <w:r>
        <w:rPr>
          <w:rFonts w:ascii="黑体" w:hAnsi="黑体" w:eastAsia="黑体" w:cs="宋体"/>
          <w:bCs/>
          <w:sz w:val="24"/>
          <w:szCs w:val="24"/>
        </w:rPr>
        <w:t>、对本次采购提出询问，请按以下方式联系。</w:t>
      </w:r>
      <w:bookmarkEnd w:id="31"/>
      <w:bookmarkEnd w:id="32"/>
      <w:bookmarkEnd w:id="33"/>
      <w:bookmarkEnd w:id="34"/>
      <w:bookmarkEnd w:id="35"/>
      <w:bookmarkEnd w:id="36"/>
    </w:p>
    <w:bookmarkEnd w:id="1"/>
    <w:p w14:paraId="7FCFF345">
      <w:pPr>
        <w:spacing w:line="460" w:lineRule="exact"/>
        <w:ind w:firstLine="480" w:firstLineChars="200"/>
        <w:rPr>
          <w:rFonts w:hint="eastAsia" w:ascii="仿宋" w:hAnsi="仿宋" w:eastAsia="仿宋" w:cs="Times New Roman"/>
          <w:sz w:val="24"/>
          <w:szCs w:val="24"/>
          <w:highlight w:val="none"/>
          <w:lang w:val="zh-CN"/>
        </w:rPr>
      </w:pPr>
      <w:r>
        <w:rPr>
          <w:rFonts w:ascii="仿宋" w:hAnsi="仿宋" w:eastAsia="仿宋" w:cs="Times New Roman"/>
          <w:sz w:val="24"/>
          <w:szCs w:val="24"/>
          <w:highlight w:val="none"/>
          <w:lang w:val="zh-CN"/>
        </w:rPr>
        <w:t>1</w:t>
      </w:r>
      <w:r>
        <w:rPr>
          <w:rFonts w:hint="eastAsia" w:ascii="仿宋" w:hAnsi="仿宋" w:eastAsia="仿宋" w:cs="Times New Roman"/>
          <w:sz w:val="24"/>
          <w:szCs w:val="24"/>
          <w:highlight w:val="none"/>
          <w:lang w:val="zh-CN"/>
        </w:rPr>
        <w:t>.</w:t>
      </w:r>
      <w:r>
        <w:rPr>
          <w:rFonts w:ascii="仿宋" w:hAnsi="仿宋" w:eastAsia="仿宋" w:cs="Times New Roman"/>
          <w:sz w:val="24"/>
          <w:szCs w:val="24"/>
          <w:highlight w:val="none"/>
          <w:lang w:val="zh-CN"/>
        </w:rPr>
        <w:t xml:space="preserve"> 采购人：</w:t>
      </w:r>
      <w:r>
        <w:rPr>
          <w:rFonts w:hint="eastAsia" w:ascii="仿宋" w:hAnsi="仿宋" w:eastAsia="仿宋" w:cs="Times New Roman"/>
          <w:sz w:val="24"/>
          <w:szCs w:val="24"/>
          <w:highlight w:val="none"/>
          <w:lang w:val="zh-CN"/>
        </w:rPr>
        <w:t>泰安市公共卫生医疗中心（泰安市职业病医院）</w:t>
      </w:r>
    </w:p>
    <w:p w14:paraId="46CF4593">
      <w:pPr>
        <w:spacing w:line="460" w:lineRule="exact"/>
        <w:ind w:firstLine="480" w:firstLineChars="200"/>
        <w:rPr>
          <w:rFonts w:hint="eastAsia" w:ascii="仿宋" w:hAnsi="仿宋" w:eastAsia="仿宋" w:cs="Times New Roman"/>
          <w:sz w:val="24"/>
          <w:szCs w:val="24"/>
          <w:highlight w:val="none"/>
          <w:lang w:val="zh-CN"/>
        </w:rPr>
      </w:pPr>
      <w:r>
        <w:rPr>
          <w:rFonts w:ascii="仿宋" w:hAnsi="仿宋" w:eastAsia="仿宋" w:cs="Times New Roman"/>
          <w:sz w:val="24"/>
          <w:szCs w:val="24"/>
          <w:highlight w:val="none"/>
          <w:lang w:val="zh-CN"/>
        </w:rPr>
        <w:t>地</w:t>
      </w:r>
      <w:r>
        <w:rPr>
          <w:rFonts w:hint="eastAsia" w:ascii="仿宋" w:hAnsi="仿宋" w:eastAsia="仿宋" w:cs="Times New Roman"/>
          <w:sz w:val="24"/>
          <w:szCs w:val="24"/>
          <w:highlight w:val="none"/>
          <w:lang w:val="en-US" w:eastAsia="zh-CN"/>
        </w:rPr>
        <w:t xml:space="preserve">  </w:t>
      </w:r>
      <w:r>
        <w:rPr>
          <w:rFonts w:ascii="仿宋" w:hAnsi="仿宋" w:eastAsia="仿宋" w:cs="Times New Roman"/>
          <w:sz w:val="24"/>
          <w:szCs w:val="24"/>
          <w:highlight w:val="none"/>
          <w:lang w:val="zh-CN"/>
        </w:rPr>
        <w:t>址：</w:t>
      </w:r>
      <w:r>
        <w:rPr>
          <w:rFonts w:hint="eastAsia" w:ascii="仿宋" w:hAnsi="仿宋" w:eastAsia="仿宋" w:cs="Times New Roman"/>
          <w:sz w:val="24"/>
          <w:szCs w:val="24"/>
          <w:highlight w:val="none"/>
          <w:lang w:val="zh-CN"/>
        </w:rPr>
        <w:t>泰安市长城路西万官大街336号</w:t>
      </w:r>
    </w:p>
    <w:p w14:paraId="189D504F">
      <w:pPr>
        <w:spacing w:line="460" w:lineRule="exact"/>
        <w:ind w:firstLine="480" w:firstLineChars="200"/>
        <w:rPr>
          <w:rFonts w:hint="eastAsia" w:ascii="仿宋" w:hAnsi="仿宋" w:eastAsia="仿宋" w:cs="Times New Roman"/>
          <w:sz w:val="24"/>
          <w:szCs w:val="24"/>
          <w:highlight w:val="none"/>
          <w:lang w:val="en-US" w:eastAsia="zh-CN"/>
        </w:rPr>
      </w:pPr>
      <w:r>
        <w:rPr>
          <w:rFonts w:hint="eastAsia" w:ascii="仿宋" w:hAnsi="仿宋" w:eastAsia="仿宋" w:cs="Times New Roman"/>
          <w:sz w:val="24"/>
          <w:szCs w:val="24"/>
          <w:highlight w:val="none"/>
          <w:lang w:val="en-US" w:eastAsia="zh-CN"/>
        </w:rPr>
        <w:t>联系人：王主任</w:t>
      </w:r>
    </w:p>
    <w:p w14:paraId="5A02D532">
      <w:pPr>
        <w:spacing w:line="460" w:lineRule="exact"/>
        <w:ind w:firstLine="480" w:firstLineChars="200"/>
        <w:rPr>
          <w:rFonts w:ascii="仿宋" w:hAnsi="仿宋" w:eastAsia="仿宋" w:cs="Times New Roman"/>
          <w:sz w:val="24"/>
          <w:szCs w:val="24"/>
          <w:highlight w:val="none"/>
          <w:lang w:val="zh-CN"/>
        </w:rPr>
      </w:pPr>
      <w:r>
        <w:rPr>
          <w:rFonts w:hint="default" w:ascii="仿宋" w:hAnsi="仿宋" w:eastAsia="仿宋" w:cs="Times New Roman"/>
          <w:sz w:val="24"/>
          <w:szCs w:val="24"/>
          <w:highlight w:val="none"/>
          <w:lang w:val="zh-CN"/>
        </w:rPr>
        <w:t>联系方式：</w:t>
      </w:r>
      <w:r>
        <w:rPr>
          <w:rFonts w:hint="eastAsia" w:ascii="仿宋" w:hAnsi="仿宋" w:eastAsia="仿宋" w:cs="Times New Roman"/>
          <w:sz w:val="24"/>
          <w:szCs w:val="24"/>
          <w:highlight w:val="none"/>
          <w:lang w:val="en-US" w:eastAsia="zh-CN"/>
        </w:rPr>
        <w:t>0538-8621809</w:t>
      </w:r>
      <w:r>
        <w:rPr>
          <w:rFonts w:hint="eastAsia" w:ascii="仿宋" w:hAnsi="仿宋" w:eastAsia="仿宋" w:cs="Times New Roman"/>
          <w:sz w:val="24"/>
          <w:szCs w:val="24"/>
          <w:highlight w:val="none"/>
          <w:lang w:val="zh-CN"/>
        </w:rPr>
        <w:tab/>
      </w:r>
    </w:p>
    <w:p w14:paraId="1A480290">
      <w:pPr>
        <w:spacing w:line="460" w:lineRule="exact"/>
        <w:ind w:firstLine="480" w:firstLineChars="200"/>
        <w:rPr>
          <w:rFonts w:hint="eastAsia" w:ascii="仿宋" w:hAnsi="仿宋" w:eastAsia="仿宋" w:cs="Times New Roman"/>
          <w:sz w:val="24"/>
          <w:szCs w:val="24"/>
          <w:highlight w:val="none"/>
          <w:lang w:val="zh-CN"/>
        </w:rPr>
      </w:pPr>
      <w:r>
        <w:rPr>
          <w:rFonts w:ascii="仿宋" w:hAnsi="仿宋" w:eastAsia="仿宋" w:cs="Times New Roman"/>
          <w:sz w:val="24"/>
          <w:szCs w:val="24"/>
          <w:highlight w:val="none"/>
          <w:lang w:val="zh-CN"/>
        </w:rPr>
        <w:t>采购代理机构：</w:t>
      </w:r>
      <w:r>
        <w:rPr>
          <w:rFonts w:hint="eastAsia" w:ascii="仿宋" w:hAnsi="仿宋" w:eastAsia="仿宋" w:cs="Times New Roman"/>
          <w:sz w:val="24"/>
          <w:szCs w:val="24"/>
          <w:highlight w:val="none"/>
          <w:lang w:val="zh-CN"/>
        </w:rPr>
        <w:t>山东金德莱项目管理有限公司</w:t>
      </w:r>
    </w:p>
    <w:p w14:paraId="58A05B06">
      <w:pPr>
        <w:spacing w:line="460" w:lineRule="exact"/>
        <w:ind w:firstLine="480" w:firstLineChars="200"/>
        <w:rPr>
          <w:rFonts w:hint="eastAsia" w:ascii="仿宋" w:hAnsi="仿宋" w:eastAsia="仿宋" w:cs="Times New Roman"/>
          <w:sz w:val="24"/>
          <w:szCs w:val="24"/>
          <w:highlight w:val="none"/>
          <w:lang w:val="zh-CN"/>
        </w:rPr>
      </w:pPr>
      <w:r>
        <w:rPr>
          <w:rFonts w:ascii="仿宋" w:hAnsi="仿宋" w:eastAsia="仿宋" w:cs="Times New Roman"/>
          <w:sz w:val="24"/>
          <w:szCs w:val="24"/>
          <w:highlight w:val="none"/>
          <w:lang w:val="zh-CN"/>
        </w:rPr>
        <w:t>地址：</w:t>
      </w:r>
      <w:r>
        <w:rPr>
          <w:rFonts w:hint="eastAsia" w:ascii="仿宋" w:hAnsi="仿宋" w:eastAsia="仿宋" w:cs="Times New Roman"/>
          <w:sz w:val="24"/>
          <w:szCs w:val="24"/>
          <w:highlight w:val="none"/>
          <w:lang w:val="zh-CN"/>
        </w:rPr>
        <w:t>泰山区梦想谷产业园西侧商业楼2-113室</w:t>
      </w:r>
    </w:p>
    <w:p w14:paraId="5309C01E">
      <w:pPr>
        <w:spacing w:line="460" w:lineRule="exact"/>
        <w:ind w:firstLine="480" w:firstLineChars="200"/>
        <w:rPr>
          <w:rFonts w:hint="eastAsia" w:ascii="仿宋" w:hAnsi="仿宋" w:eastAsia="仿宋" w:cs="Times New Roman"/>
          <w:sz w:val="24"/>
          <w:szCs w:val="24"/>
          <w:highlight w:val="none"/>
          <w:lang w:val="en-US" w:eastAsia="zh-CN"/>
        </w:rPr>
      </w:pPr>
      <w:r>
        <w:rPr>
          <w:rFonts w:hint="eastAsia" w:ascii="仿宋" w:hAnsi="仿宋" w:eastAsia="仿宋" w:cs="Times New Roman"/>
          <w:sz w:val="24"/>
          <w:szCs w:val="24"/>
          <w:highlight w:val="none"/>
          <w:lang w:val="en-US" w:eastAsia="zh-CN"/>
        </w:rPr>
        <w:t>项目经理：卢经理</w:t>
      </w:r>
    </w:p>
    <w:p w14:paraId="4251B595">
      <w:pPr>
        <w:spacing w:line="460" w:lineRule="exact"/>
        <w:ind w:firstLine="480" w:firstLineChars="200"/>
        <w:rPr>
          <w:rFonts w:hint="eastAsia" w:ascii="仿宋" w:hAnsi="仿宋" w:eastAsia="仿宋" w:cs="Times New Roman"/>
          <w:sz w:val="24"/>
          <w:szCs w:val="24"/>
          <w:highlight w:val="none"/>
          <w:lang w:val="en-US" w:eastAsia="zh-CN"/>
        </w:rPr>
      </w:pPr>
      <w:r>
        <w:rPr>
          <w:rFonts w:ascii="仿宋" w:hAnsi="仿宋" w:eastAsia="仿宋" w:cs="Times New Roman"/>
          <w:sz w:val="24"/>
          <w:szCs w:val="24"/>
          <w:highlight w:val="none"/>
          <w:lang w:val="zh-CN"/>
        </w:rPr>
        <w:t>电话</w:t>
      </w:r>
      <w:r>
        <w:rPr>
          <w:rFonts w:ascii="仿宋" w:hAnsi="仿宋" w:eastAsia="仿宋" w:cs="Times New Roman"/>
          <w:sz w:val="24"/>
          <w:szCs w:val="24"/>
          <w:highlight w:val="none"/>
        </w:rPr>
        <w:t>：</w:t>
      </w:r>
      <w:r>
        <w:rPr>
          <w:rFonts w:hint="eastAsia" w:ascii="仿宋" w:hAnsi="仿宋" w:eastAsia="仿宋" w:cs="Times New Roman"/>
          <w:sz w:val="24"/>
          <w:szCs w:val="24"/>
          <w:highlight w:val="none"/>
        </w:rPr>
        <w:t>0538-</w:t>
      </w:r>
      <w:r>
        <w:rPr>
          <w:rFonts w:hint="eastAsia" w:ascii="仿宋" w:hAnsi="仿宋" w:eastAsia="仿宋" w:cs="Times New Roman"/>
          <w:sz w:val="24"/>
          <w:szCs w:val="24"/>
          <w:highlight w:val="none"/>
          <w:lang w:val="en-US" w:eastAsia="zh-CN"/>
        </w:rPr>
        <w:t>8663567</w:t>
      </w:r>
    </w:p>
    <w:p w14:paraId="4C7704DC">
      <w:pPr>
        <w:rPr>
          <w:rFonts w:hint="default"/>
        </w:rPr>
      </w:pPr>
    </w:p>
    <w:bookmarkEnd w:id="2"/>
    <w:p w14:paraId="2EAF287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4E73F1"/>
    <w:rsid w:val="01E95043"/>
    <w:rsid w:val="03910535"/>
    <w:rsid w:val="03F36A34"/>
    <w:rsid w:val="288A0923"/>
    <w:rsid w:val="36FC34D6"/>
    <w:rsid w:val="3D4E73F1"/>
    <w:rsid w:val="44D67D9C"/>
    <w:rsid w:val="46D244F9"/>
    <w:rsid w:val="505F4930"/>
    <w:rsid w:val="59584148"/>
    <w:rsid w:val="60FF01B5"/>
    <w:rsid w:val="62903FAD"/>
    <w:rsid w:val="69650A94"/>
    <w:rsid w:val="7B7D5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9"/>
    <w:pPr>
      <w:widowControl w:val="0"/>
      <w:jc w:val="both"/>
    </w:pPr>
    <w:rPr>
      <w:rFonts w:hint="eastAsia" w:ascii="Calibri" w:hAnsi="Calibri" w:eastAsia="宋体" w:cs="Times New Roman"/>
      <w:kern w:val="2"/>
      <w:sz w:val="21"/>
      <w:lang w:val="en-US" w:eastAsia="zh-CN" w:bidi="ar-SA"/>
    </w:rPr>
  </w:style>
  <w:style w:type="paragraph" w:styleId="3">
    <w:name w:val="heading 1"/>
    <w:basedOn w:val="4"/>
    <w:next w:val="1"/>
    <w:qFormat/>
    <w:uiPriority w:val="99"/>
    <w:pPr>
      <w:keepNext/>
      <w:keepLines/>
      <w:spacing w:line="360" w:lineRule="auto"/>
      <w:jc w:val="center"/>
      <w:outlineLvl w:val="0"/>
    </w:pPr>
    <w:rPr>
      <w:rFonts w:eastAsia="黑体"/>
      <w:kern w:val="44"/>
      <w:sz w:val="30"/>
    </w:rPr>
  </w:style>
  <w:style w:type="paragraph" w:styleId="2">
    <w:name w:val="heading 2"/>
    <w:basedOn w:val="1"/>
    <w:next w:val="1"/>
    <w:qFormat/>
    <w:uiPriority w:val="99"/>
    <w:pPr>
      <w:keepNext/>
      <w:keepLines/>
      <w:spacing w:before="260" w:after="260" w:line="415" w:lineRule="auto"/>
      <w:jc w:val="center"/>
      <w:outlineLvl w:val="1"/>
    </w:pPr>
    <w:rPr>
      <w:rFonts w:ascii="Arial" w:hAnsi="Arial" w:eastAsia="黑体"/>
      <w:sz w:val="84"/>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Title"/>
    <w:basedOn w:val="1"/>
    <w:next w:val="1"/>
    <w:qFormat/>
    <w:uiPriority w:val="0"/>
    <w:pPr>
      <w:snapToGrid w:val="0"/>
      <w:spacing w:before="240" w:after="60" w:line="360" w:lineRule="auto"/>
      <w:jc w:val="center"/>
      <w:outlineLvl w:val="0"/>
    </w:pPr>
    <w:rPr>
      <w:rFonts w:hint="default" w:ascii="Cambria" w:hAnsi="Cambria" w:cstheme="min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1475</Words>
  <Characters>1603</Characters>
  <Lines>0</Lines>
  <Paragraphs>0</Paragraphs>
  <TotalTime>6</TotalTime>
  <ScaleCrop>false</ScaleCrop>
  <LinksUpToDate>false</LinksUpToDate>
  <CharactersWithSpaces>1609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2026-10-27T06:03:00Z</dcterms:created>
  <dc:creator>Admin</dc:creator>
  <cp:lastModifiedBy>administrator</cp:lastModifiedBy>
  <dcterms:modified xsi:type="dcterms:W3CDTF">2026-10-28T00:34:37Z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231E6642F62B4C68A89D2B475FA3595D_13</vt:lpwstr>
  </property>
  <property fmtid="{D5CDD505-2E9C-101B-9397-08002B2CF9AE}" pid="4" name="KSOTemplateDocerSaveRecord">
    <vt:lpwstr>eyJoZGlkIjoiMDBmZDA0MGRhY2Q1YmJjZDQ0MTlmZTk2ZmNlOWMzYjgiLCJ1c2VySWQiOiI1MzI1NDIyNzgifQ==</vt:lpwstr>
  </property>
</Properties>
</file>